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opLinePunct/>
        <w:adjustRightInd w:val="0"/>
        <w:snapToGrid w:val="0"/>
        <w:ind w:right="1514" w:rightChars="473" w:firstLine="1029" w:firstLineChars="343"/>
        <w:jc w:val="distribute"/>
        <w:rPr>
          <w:rFonts w:hint="default" w:ascii="Times New Roman" w:hAnsi="Times New Roman" w:eastAsia="方正小标宋_GBK" w:cs="Times New Roman"/>
          <w:kern w:val="0"/>
          <w:sz w:val="44"/>
          <w:szCs w:val="44"/>
        </w:rPr>
      </w:pPr>
      <w:bookmarkStart w:id="3" w:name="_GoBack"/>
      <w:bookmarkEnd w:id="3"/>
      <w:r>
        <w:rPr>
          <w:rFonts w:ascii="Times New Roman" w:hAnsi="Times New Roman" w:eastAsia="仿宋_GB2312" w:cs="Times New Roman"/>
          <w:sz w:val="30"/>
          <w:szCs w:val="32"/>
        </w:rPr>
        <w:pict>
          <v:shape id="艺术字 4" o:spid="_x0000_s1037" o:spt="136" type="#_x0000_t136" style="position:absolute;left:0pt;margin-left:-14.75pt;margin-top:24.9pt;height:52.5pt;width:450pt;z-index:251660288;mso-width-relative:page;mso-height-relative:page;" fillcolor="#FF0000" filled="t" stroked="t" coordsize="21600,21600">
            <v:path/>
            <v:fill on="t" focussize="0,0"/>
            <v:stroke weight="1pt" color="#FF0000"/>
            <v:imagedata o:title=""/>
            <o:lock v:ext="edit" text="f"/>
            <v:textpath on="t" fitshape="t" fitpath="t" trim="t" xscale="f" string="重庆市人才交流服务中心电子文件" style="font-family:方正小标宋简体;font-size:44pt;v-rotate-letters:f;v-same-letter-heights:f;v-text-align:center;"/>
          </v:shape>
        </w:pict>
      </w:r>
    </w:p>
    <w:p>
      <w:pPr>
        <w:topLinePunct/>
        <w:adjustRightInd w:val="0"/>
        <w:snapToGrid w:val="0"/>
        <w:ind w:right="1514" w:rightChars="473" w:firstLine="1509" w:firstLineChars="343"/>
        <w:jc w:val="distribute"/>
        <w:rPr>
          <w:rFonts w:hint="default" w:ascii="Times New Roman" w:hAnsi="Times New Roman" w:eastAsia="方正小标宋_GBK" w:cs="Times New Roman"/>
          <w:kern w:val="0"/>
          <w:sz w:val="44"/>
          <w:szCs w:val="44"/>
        </w:rPr>
      </w:pPr>
    </w:p>
    <w:p>
      <w:pPr>
        <w:topLinePunct/>
        <w:adjustRightInd w:val="0"/>
        <w:snapToGrid w:val="0"/>
        <w:ind w:right="1514" w:rightChars="473" w:firstLine="1509" w:firstLineChars="343"/>
        <w:jc w:val="distribute"/>
        <w:rPr>
          <w:rFonts w:hint="default" w:ascii="Times New Roman" w:hAnsi="Times New Roman" w:eastAsia="方正小标宋_GBK" w:cs="Times New Roman"/>
          <w:kern w:val="0"/>
          <w:sz w:val="44"/>
          <w:szCs w:val="44"/>
        </w:rPr>
      </w:pPr>
    </w:p>
    <w:p>
      <w:pPr>
        <w:topLinePunct/>
        <w:adjustRightInd w:val="0"/>
        <w:snapToGrid w:val="0"/>
        <w:ind w:right="1514" w:rightChars="473" w:firstLine="1509" w:firstLineChars="343"/>
        <w:jc w:val="distribute"/>
        <w:rPr>
          <w:rFonts w:hint="default" w:ascii="Times New Roman" w:hAnsi="Times New Roman" w:eastAsia="方正小标宋_GBK" w:cs="Times New Roman"/>
          <w:kern w:val="0"/>
          <w:sz w:val="44"/>
          <w:szCs w:val="44"/>
        </w:rPr>
      </w:pPr>
    </w:p>
    <w:p>
      <w:pPr>
        <w:topLinePunct/>
        <w:adjustRightInd w:val="0"/>
        <w:snapToGrid w:val="0"/>
        <w:ind w:right="1514" w:rightChars="473" w:firstLine="1097" w:firstLineChars="343"/>
        <w:jc w:val="center"/>
        <w:rPr>
          <w:rFonts w:hint="default" w:ascii="Times New Roman" w:hAnsi="Times New Roman" w:eastAsia="方正小标宋_GBK" w:cs="Times New Roman"/>
          <w:kern w:val="0"/>
          <w:sz w:val="44"/>
          <w:szCs w:val="44"/>
        </w:rPr>
      </w:pPr>
      <w:r>
        <w:rPr>
          <w:rFonts w:ascii="Times New Roman" w:hAnsi="Times New Roman" w:eastAsia="仿宋_GB2312" w:cs="Times New Roman"/>
          <w:sz w:val="32"/>
          <w:szCs w:val="32"/>
        </w:rPr>
        <w:t>渝人才发〔201</w:t>
      </w:r>
      <w:r>
        <w:rPr>
          <w:rFonts w:hint="eastAsia" w:eastAsia="仿宋_GB2312" w:cs="Times New Roman"/>
          <w:sz w:val="32"/>
          <w:szCs w:val="32"/>
          <w:lang w:val="en-US" w:eastAsia="zh-CN"/>
        </w:rPr>
        <w:t>9</w:t>
      </w:r>
      <w:r>
        <w:rPr>
          <w:rFonts w:ascii="Times New Roman" w:hAnsi="Times New Roman" w:eastAsia="仿宋_GB2312" w:cs="Times New Roman"/>
          <w:sz w:val="32"/>
          <w:szCs w:val="32"/>
        </w:rPr>
        <w:t>〕</w:t>
      </w:r>
      <w:r>
        <w:rPr>
          <w:rFonts w:hint="eastAsia" w:eastAsia="仿宋_GB2312" w:cs="Times New Roman"/>
          <w:sz w:val="32"/>
          <w:szCs w:val="32"/>
          <w:lang w:val="en-US" w:eastAsia="zh-CN"/>
        </w:rPr>
        <w:t>12</w:t>
      </w:r>
      <w:r>
        <w:rPr>
          <w:rFonts w:ascii="Times New Roman" w:hAnsi="Times New Roman" w:eastAsia="仿宋_GB2312" w:cs="Times New Roman"/>
          <w:sz w:val="32"/>
          <w:szCs w:val="32"/>
        </w:rPr>
        <w:t>号</w:t>
      </w:r>
    </w:p>
    <w:p>
      <w:pPr>
        <w:topLinePunct/>
        <w:adjustRightInd w:val="0"/>
        <w:snapToGrid w:val="0"/>
        <w:ind w:right="1514" w:rightChars="473" w:firstLine="1468" w:firstLineChars="343"/>
        <w:jc w:val="distribute"/>
        <w:rPr>
          <w:rFonts w:hint="default" w:ascii="Times New Roman" w:hAnsi="Times New Roman" w:eastAsia="方正小标宋_GBK" w:cs="Times New Roman"/>
          <w:kern w:val="0"/>
          <w:sz w:val="44"/>
          <w:szCs w:val="44"/>
        </w:rPr>
      </w:pPr>
      <w:r>
        <w:rPr>
          <w:rFonts w:ascii="Times New Roman" w:hAnsi="Times New Roman" w:eastAsia="方正小标宋简体" w:cs="Times New Roman"/>
          <w:bCs/>
          <w:spacing w:val="-6"/>
          <w:kern w:val="0"/>
          <w:sz w:val="44"/>
          <w:szCs w:val="44"/>
        </w:rPr>
        <mc:AlternateContent>
          <mc:Choice Requires="wps">
            <w:drawing>
              <wp:anchor distT="0" distB="0" distL="114300" distR="114300" simplePos="0" relativeHeight="251662336" behindDoc="0" locked="0" layoutInCell="1" allowOverlap="1">
                <wp:simplePos x="0" y="0"/>
                <wp:positionH relativeFrom="column">
                  <wp:posOffset>-162560</wp:posOffset>
                </wp:positionH>
                <wp:positionV relativeFrom="paragraph">
                  <wp:posOffset>286385</wp:posOffset>
                </wp:positionV>
                <wp:extent cx="5667375" cy="9525"/>
                <wp:effectExtent l="0" t="19050" r="9525" b="28575"/>
                <wp:wrapNone/>
                <wp:docPr id="2" name="任意多边形 2"/>
                <wp:cNvGraphicFramePr/>
                <a:graphic xmlns:a="http://schemas.openxmlformats.org/drawingml/2006/main">
                  <a:graphicData uri="http://schemas.microsoft.com/office/word/2010/wordprocessingShape">
                    <wps:wsp>
                      <wps:cNvSpPr/>
                      <wps:spPr>
                        <a:xfrm>
                          <a:off x="0" y="0"/>
                          <a:ext cx="5667375" cy="9525"/>
                        </a:xfrm>
                        <a:custGeom>
                          <a:avLst/>
                          <a:gdLst/>
                          <a:ahLst/>
                          <a:cxnLst/>
                          <a:pathLst>
                            <a:path w="8925" h="15">
                              <a:moveTo>
                                <a:pt x="0" y="0"/>
                              </a:moveTo>
                              <a:lnTo>
                                <a:pt x="8925" y="15"/>
                              </a:lnTo>
                            </a:path>
                          </a:pathLst>
                        </a:custGeom>
                        <a:noFill/>
                        <a:ln w="38100" cap="flat" cmpd="sng">
                          <a:solidFill>
                            <a:srgbClr val="FF0000"/>
                          </a:solidFill>
                          <a:prstDash val="solid"/>
                          <a:headEnd type="none" w="med" len="med"/>
                          <a:tailEnd type="none" w="med" len="med"/>
                        </a:ln>
                      </wps:spPr>
                      <wps:bodyPr upright="1"/>
                    </wps:wsp>
                  </a:graphicData>
                </a:graphic>
              </wp:anchor>
            </w:drawing>
          </mc:Choice>
          <mc:Fallback>
            <w:pict>
              <v:shape id="_x0000_s1026" o:spid="_x0000_s1026" o:spt="100" style="position:absolute;left:0pt;margin-left:-12.8pt;margin-top:22.55pt;height:0.75pt;width:446.25pt;z-index:251662336;mso-width-relative:page;mso-height-relative:page;" filled="f" stroked="t" coordsize="8925,15" o:gfxdata="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czOrA1wAAAAkB&#10;AAAPAAAAAAAAAAEAIAAAACIAAABkcnMvZG93bnJldi54bWxQSwECFAAUAAAACACHTuJAk6l8mhwC&#10;AABABAAADgAAAAAAAAABACAAAAAmAQAAZHJzL2Uyb0RvYy54bWxQSwUGAAAAAAYABgBZAQAAtAUA&#10;AAAA&#10;" path="m0,0l8925,15e">
                <v:fill on="f" focussize="0,0"/>
                <v:stroke weight="3pt" color="#FF0000" joinstyle="round"/>
                <v:imagedata o:title=""/>
                <o:lock v:ext="edit" aspectratio="f"/>
              </v:shape>
            </w:pict>
          </mc:Fallback>
        </mc:AlternateContent>
      </w:r>
    </w:p>
    <w:p>
      <w:pPr>
        <w:topLinePunct/>
        <w:adjustRightInd w:val="0"/>
        <w:snapToGrid w:val="0"/>
        <w:ind w:right="1514" w:rightChars="473" w:firstLine="1509" w:firstLineChars="343"/>
        <w:jc w:val="distribute"/>
        <w:rPr>
          <w:rFonts w:hint="default" w:ascii="Times New Roman" w:hAnsi="Times New Roman" w:eastAsia="方正小标宋_GBK" w:cs="Times New Roman"/>
          <w:kern w:val="0"/>
          <w:sz w:val="44"/>
          <w:szCs w:val="44"/>
        </w:rPr>
      </w:pPr>
    </w:p>
    <w:p>
      <w:pPr>
        <w:keepNext w:val="0"/>
        <w:keepLines w:val="0"/>
        <w:pageBreakBefore w:val="0"/>
        <w:kinsoku/>
        <w:wordWrap/>
        <w:overflowPunct/>
        <w:topLinePunct/>
        <w:autoSpaceDE/>
        <w:autoSpaceDN/>
        <w:bidi w:val="0"/>
        <w:adjustRightInd w:val="0"/>
        <w:snapToGrid w:val="0"/>
        <w:spacing w:line="600" w:lineRule="exact"/>
        <w:ind w:right="1514" w:rightChars="473" w:firstLine="1509" w:firstLineChars="343"/>
        <w:jc w:val="distribute"/>
        <w:textAlignment w:val="auto"/>
        <w:rPr>
          <w:rFonts w:hint="default" w:ascii="Times New Roman" w:hAnsi="Times New Roman" w:eastAsia="方正小标宋_GBK" w:cs="Times New Roman"/>
          <w:kern w:val="0"/>
          <w:sz w:val="44"/>
          <w:szCs w:val="44"/>
        </w:rPr>
      </w:pPr>
      <w:r>
        <w:rPr>
          <w:rFonts w:hint="default" w:ascii="Times New Roman" w:hAnsi="Times New Roman" w:eastAsia="方正小标宋_GBK" w:cs="Times New Roman"/>
          <w:kern w:val="0"/>
          <w:sz w:val="44"/>
          <w:szCs w:val="44"/>
        </w:rPr>
        <w:t>重庆市人才交流服务中心</w:t>
      </w:r>
    </w:p>
    <w:p>
      <w:pPr>
        <w:keepNext w:val="0"/>
        <w:keepLines w:val="0"/>
        <w:pageBreakBefore w:val="0"/>
        <w:kinsoku/>
        <w:wordWrap/>
        <w:overflowPunct/>
        <w:topLinePunct/>
        <w:autoSpaceDE/>
        <w:autoSpaceDN/>
        <w:bidi w:val="0"/>
        <w:adjustRightInd w:val="0"/>
        <w:snapToGrid w:val="0"/>
        <w:spacing w:line="600" w:lineRule="exact"/>
        <w:ind w:right="1514" w:rightChars="473" w:firstLine="1509" w:firstLineChars="343"/>
        <w:jc w:val="distribute"/>
        <w:textAlignment w:val="auto"/>
        <w:rPr>
          <w:rFonts w:hint="default" w:ascii="Times New Roman" w:hAnsi="Times New Roman" w:eastAsia="方正小标宋_GBK" w:cs="Times New Roman"/>
          <w:kern w:val="0"/>
          <w:sz w:val="44"/>
          <w:szCs w:val="44"/>
        </w:rPr>
      </w:pPr>
      <w:r>
        <w:rPr>
          <w:rFonts w:hint="default" w:ascii="Times New Roman" w:hAnsi="Times New Roman" w:eastAsia="方正小标宋_GBK" w:cs="Times New Roman"/>
          <w:kern w:val="0"/>
          <w:sz w:val="44"/>
          <w:szCs w:val="44"/>
        </w:rPr>
        <w:t>重庆市金融发展服务中心</w:t>
      </w:r>
    </w:p>
    <w:p>
      <w:pPr>
        <w:keepNext w:val="0"/>
        <w:keepLines w:val="0"/>
        <w:pageBreakBefore w:val="0"/>
        <w:kinsoku/>
        <w:wordWrap/>
        <w:overflowPunct/>
        <w:topLinePunct/>
        <w:autoSpaceDE/>
        <w:autoSpaceDN/>
        <w:bidi w:val="0"/>
        <w:adjustRightInd w:val="0"/>
        <w:snapToGrid w:val="0"/>
        <w:spacing w:line="600" w:lineRule="exact"/>
        <w:ind w:right="1514" w:rightChars="473" w:firstLine="1509" w:firstLineChars="343"/>
        <w:jc w:val="distribute"/>
        <w:textAlignment w:val="auto"/>
        <w:rPr>
          <w:rFonts w:hint="default" w:ascii="Times New Roman" w:hAnsi="Times New Roman" w:eastAsia="方正小标宋_GBK" w:cs="Times New Roman"/>
          <w:kern w:val="0"/>
          <w:sz w:val="44"/>
          <w:szCs w:val="44"/>
        </w:rPr>
      </w:pPr>
      <w:r>
        <w:rPr>
          <w:rFonts w:hint="default" w:ascii="Times New Roman" w:hAnsi="Times New Roman" w:eastAsia="方正小标宋_GBK" w:cs="Times New Roman"/>
          <w:kern w:val="0"/>
          <w:sz w:val="44"/>
          <w:szCs w:val="44"/>
        </w:rPr>
        <w:t>重庆银行股份有限公司</w:t>
      </w:r>
    </w:p>
    <w:p>
      <w:pPr>
        <w:keepNext w:val="0"/>
        <w:keepLines w:val="0"/>
        <w:pageBreakBefore w:val="0"/>
        <w:kinsoku/>
        <w:wordWrap/>
        <w:overflowPunct/>
        <w:topLinePunct/>
        <w:autoSpaceDE/>
        <w:autoSpaceDN/>
        <w:bidi w:val="0"/>
        <w:adjustRightInd w:val="0"/>
        <w:snapToGrid w:val="0"/>
        <w:spacing w:line="600" w:lineRule="exact"/>
        <w:jc w:val="center"/>
        <w:textAlignment w:val="auto"/>
        <w:rPr>
          <w:rFonts w:hint="default" w:ascii="Times New Roman" w:hAnsi="Times New Roman" w:eastAsia="方正小标宋_GBK" w:cs="Times New Roman"/>
          <w:kern w:val="0"/>
          <w:sz w:val="44"/>
          <w:szCs w:val="44"/>
        </w:rPr>
      </w:pPr>
      <w:r>
        <w:rPr>
          <w:rFonts w:hint="default" w:ascii="Times New Roman" w:hAnsi="Times New Roman" w:eastAsia="方正小标宋_GBK" w:cs="Times New Roman"/>
          <w:kern w:val="0"/>
          <w:sz w:val="44"/>
          <w:szCs w:val="44"/>
        </w:rPr>
        <w:t>关于做好高层次人才“人才贷”及</w:t>
      </w:r>
    </w:p>
    <w:p>
      <w:pPr>
        <w:keepNext w:val="0"/>
        <w:keepLines w:val="0"/>
        <w:pageBreakBefore w:val="0"/>
        <w:kinsoku/>
        <w:wordWrap/>
        <w:overflowPunct/>
        <w:topLinePunct/>
        <w:autoSpaceDE/>
        <w:autoSpaceDN/>
        <w:bidi w:val="0"/>
        <w:adjustRightInd w:val="0"/>
        <w:snapToGrid w:val="0"/>
        <w:spacing w:line="600" w:lineRule="exact"/>
        <w:jc w:val="center"/>
        <w:textAlignment w:val="auto"/>
        <w:rPr>
          <w:rFonts w:hint="default" w:ascii="Times New Roman" w:hAnsi="Times New Roman" w:eastAsia="方正小标宋_GBK" w:cs="Times New Roman"/>
          <w:kern w:val="0"/>
          <w:sz w:val="44"/>
          <w:szCs w:val="44"/>
        </w:rPr>
      </w:pPr>
      <w:r>
        <w:rPr>
          <w:rFonts w:hint="default" w:ascii="Times New Roman" w:hAnsi="Times New Roman" w:eastAsia="方正小标宋_GBK" w:cs="Times New Roman"/>
          <w:kern w:val="0"/>
          <w:sz w:val="44"/>
          <w:szCs w:val="44"/>
        </w:rPr>
        <w:t>相关金融服务落实兑现的通知</w:t>
      </w:r>
    </w:p>
    <w:p>
      <w:pPr>
        <w:keepNext w:val="0"/>
        <w:keepLines w:val="0"/>
        <w:pageBreakBefore w:val="0"/>
        <w:kinsoku/>
        <w:wordWrap/>
        <w:overflowPunct/>
        <w:topLinePunct/>
        <w:autoSpaceDE/>
        <w:autoSpaceDN/>
        <w:bidi w:val="0"/>
        <w:adjustRightInd w:val="0"/>
        <w:spacing w:line="600" w:lineRule="exact"/>
        <w:jc w:val="center"/>
        <w:textAlignment w:val="auto"/>
        <w:rPr>
          <w:rFonts w:hint="default" w:ascii="Times New Roman" w:hAnsi="Times New Roman" w:eastAsia="方正楷体_GBK" w:cs="Times New Roman"/>
          <w:kern w:val="0"/>
          <w:szCs w:val="32"/>
        </w:rPr>
      </w:pPr>
    </w:p>
    <w:p>
      <w:pPr>
        <w:keepNext w:val="0"/>
        <w:keepLines w:val="0"/>
        <w:pageBreakBefore w:val="0"/>
        <w:kinsoku/>
        <w:wordWrap/>
        <w:overflowPunct/>
        <w:topLinePunct/>
        <w:autoSpaceDE/>
        <w:autoSpaceDN/>
        <w:bidi w:val="0"/>
        <w:adjustRightInd w:val="0"/>
        <w:snapToGrid w:val="0"/>
        <w:spacing w:line="600" w:lineRule="exact"/>
        <w:textAlignment w:val="auto"/>
        <w:rPr>
          <w:rFonts w:hint="default" w:ascii="Times New Roman" w:hAnsi="Times New Roman" w:cs="Times New Roman"/>
          <w:kern w:val="0"/>
          <w:szCs w:val="32"/>
        </w:rPr>
      </w:pPr>
      <w:r>
        <w:rPr>
          <w:rFonts w:hint="default" w:ascii="Times New Roman" w:hAnsi="Times New Roman" w:cs="Times New Roman"/>
          <w:kern w:val="0"/>
          <w:szCs w:val="32"/>
        </w:rPr>
        <w:t>各区县（自治县）就业和人才服务局（中心）、万盛经开区创业就业和人才服务局、两江新区人才和就业管理中心，重庆银行分支机构，有关用人单位：</w:t>
      </w:r>
    </w:p>
    <w:p>
      <w:pPr>
        <w:keepNext w:val="0"/>
        <w:keepLines w:val="0"/>
        <w:pageBreakBefore w:val="0"/>
        <w:kinsoku/>
        <w:wordWrap/>
        <w:overflow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r>
        <w:rPr>
          <w:rFonts w:hint="default" w:ascii="Times New Roman" w:hAnsi="Times New Roman" w:cs="Times New Roman"/>
          <w:kern w:val="0"/>
          <w:szCs w:val="32"/>
        </w:rPr>
        <w:t>为进一步加大高层次人才引进与服务力度，强化创新创业金融支持，根据市金融监管局、市委组织部、市人力社保局联合制定《关于为高层次人才提供“人才贷”及相关金融服务的实施方案》（渝金发〔2019〕1号）（附件1，以下简称“实施方案”）要求，现就做好高层次“人才贷”及相关金融服务工作有关事宜通知如下：</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一、明晰服务对象</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bookmarkStart w:id="0" w:name="_Hlk14872947"/>
      <w:r>
        <w:rPr>
          <w:rFonts w:hint="default" w:ascii="Times New Roman" w:hAnsi="Times New Roman" w:cs="Times New Roman"/>
          <w:kern w:val="0"/>
          <w:szCs w:val="32"/>
        </w:rPr>
        <w:t>根据实施方案，“人才贷”及相关金融服务对象为持有重庆市人才服务证的高层次人才。</w:t>
      </w:r>
    </w:p>
    <w:bookmarkEnd w:id="0"/>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二、兑现服务内容</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bookmarkStart w:id="1" w:name="_Hlk14873071"/>
      <w:r>
        <w:rPr>
          <w:rFonts w:hint="default" w:ascii="Times New Roman" w:hAnsi="Times New Roman" w:eastAsia="方正楷体_GBK" w:cs="Times New Roman"/>
          <w:kern w:val="0"/>
          <w:szCs w:val="32"/>
        </w:rPr>
        <w:t>（一）发放“英才卡”：</w:t>
      </w:r>
      <w:bookmarkStart w:id="2" w:name="_Hlk14873041"/>
      <w:r>
        <w:rPr>
          <w:rFonts w:hint="default" w:ascii="Times New Roman" w:hAnsi="Times New Roman" w:cs="Times New Roman"/>
          <w:kern w:val="0"/>
          <w:szCs w:val="32"/>
        </w:rPr>
        <w:t>为重庆市高层次人才设计开发的专属联名借记卡，持重庆市人才服务证的高层次人才可自愿申办，持卡人纳入重庆银行VIP客户管理体系，享受专属增值服务。</w:t>
      </w:r>
    </w:p>
    <w:bookmarkEnd w:id="2"/>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r>
        <w:rPr>
          <w:rFonts w:hint="default" w:ascii="Times New Roman" w:hAnsi="Times New Roman" w:eastAsia="方正楷体_GBK" w:cs="Times New Roman"/>
          <w:kern w:val="0"/>
          <w:szCs w:val="32"/>
        </w:rPr>
        <w:t>（二）“人才贷”服务：</w:t>
      </w:r>
      <w:r>
        <w:rPr>
          <w:rFonts w:hint="default" w:ascii="Times New Roman" w:hAnsi="Times New Roman" w:cs="Times New Roman"/>
          <w:kern w:val="0"/>
          <w:szCs w:val="32"/>
        </w:rPr>
        <w:t>包括人才信用贷、知识价值信用贷、人才创业贷、房产抵押贷、流动资金贷和工业用房按揭贷等6类金融服务（对应产品详见附件5），贷款额度、贷款利率、还款期限等服务以重庆银行相关产品细则为准。</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楷体_GBK" w:cs="Times New Roman"/>
          <w:kern w:val="0"/>
          <w:szCs w:val="32"/>
        </w:rPr>
      </w:pPr>
      <w:r>
        <w:rPr>
          <w:rFonts w:hint="eastAsia" w:eastAsia="方正楷体_GBK" w:cs="Times New Roman"/>
          <w:kern w:val="0"/>
          <w:szCs w:val="32"/>
          <w:lang w:eastAsia="zh-CN"/>
        </w:rPr>
        <w:t>（三）</w:t>
      </w:r>
      <w:r>
        <w:rPr>
          <w:rFonts w:hint="default" w:ascii="Times New Roman" w:hAnsi="Times New Roman" w:eastAsia="方正楷体_GBK" w:cs="Times New Roman"/>
          <w:kern w:val="0"/>
          <w:szCs w:val="32"/>
        </w:rPr>
        <w:t>人才增值服务</w:t>
      </w:r>
    </w:p>
    <w:p>
      <w:pPr>
        <w:keepNext w:val="0"/>
        <w:keepLines w:val="0"/>
        <w:pageBreakBefore w:val="0"/>
        <w:kinsoku/>
        <w:wordWrap/>
        <w:overflowPunct/>
        <w:topLinePunct/>
        <w:autoSpaceDE/>
        <w:autoSpaceDN/>
        <w:bidi w:val="0"/>
        <w:adjustRightInd w:val="0"/>
        <w:snapToGrid w:val="0"/>
        <w:spacing w:line="600" w:lineRule="exact"/>
        <w:ind w:firstLine="643" w:firstLineChars="200"/>
        <w:textAlignment w:val="auto"/>
        <w:rPr>
          <w:rFonts w:hint="default" w:ascii="Times New Roman" w:hAnsi="Times New Roman" w:cs="Times New Roman"/>
          <w:kern w:val="0"/>
          <w:szCs w:val="32"/>
        </w:rPr>
      </w:pPr>
      <w:r>
        <w:rPr>
          <w:rFonts w:hint="default" w:ascii="Times New Roman" w:hAnsi="Times New Roman" w:cs="Times New Roman"/>
          <w:b/>
          <w:kern w:val="0"/>
          <w:szCs w:val="32"/>
        </w:rPr>
        <w:t>1</w:t>
      </w:r>
      <w:r>
        <w:rPr>
          <w:rFonts w:hint="eastAsia" w:cs="Times New Roman"/>
          <w:b/>
          <w:kern w:val="0"/>
          <w:szCs w:val="32"/>
          <w:lang w:val="en-US" w:eastAsia="zh-CN"/>
        </w:rPr>
        <w:t>.</w:t>
      </w:r>
      <w:r>
        <w:rPr>
          <w:rFonts w:hint="default" w:ascii="Times New Roman" w:hAnsi="Times New Roman" w:cs="Times New Roman"/>
          <w:b/>
          <w:kern w:val="0"/>
          <w:szCs w:val="32"/>
        </w:rPr>
        <w:t>金融类增值服务。</w:t>
      </w:r>
      <w:r>
        <w:rPr>
          <w:rFonts w:hint="default" w:ascii="Times New Roman" w:hAnsi="Times New Roman" w:cs="Times New Roman"/>
          <w:kern w:val="0"/>
          <w:szCs w:val="32"/>
        </w:rPr>
        <w:t>“英才卡”持卡人可享受九项费用免收服务：（1）办卡工本费、年费、小额账户管理费；（2）办理存折、存单、卡挂失、开立存款证明、补办存折\存单\卡手续费；（3）IC卡换卡服务工本费；（4）银信通服务费；（5）跨行ATM取款业务手续费；（6）网上银行业务USB KEY工本费及年费；（7）大小额支付系统汇兑手续费及邮电费，跨行转账手续费；（8）“人行通”交易手续费；（9）同卡号换卡服务费。（具体服务内容以发卡行实际运行细则为准）</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r>
        <w:rPr>
          <w:rFonts w:hint="default" w:ascii="Times New Roman" w:hAnsi="Times New Roman" w:cs="Times New Roman"/>
          <w:kern w:val="0"/>
          <w:szCs w:val="32"/>
        </w:rPr>
        <w:t>同时，持卡人可享受外币兑换服务，通过重庆银行APP实现外币兑换（详见附件6）。</w:t>
      </w:r>
    </w:p>
    <w:p>
      <w:pPr>
        <w:keepNext w:val="0"/>
        <w:keepLines w:val="0"/>
        <w:pageBreakBefore w:val="0"/>
        <w:kinsoku/>
        <w:wordWrap/>
        <w:overflowPunct/>
        <w:topLinePunct/>
        <w:autoSpaceDE/>
        <w:autoSpaceDN/>
        <w:bidi w:val="0"/>
        <w:adjustRightInd w:val="0"/>
        <w:snapToGrid w:val="0"/>
        <w:spacing w:line="600" w:lineRule="exact"/>
        <w:ind w:firstLine="643" w:firstLineChars="200"/>
        <w:textAlignment w:val="auto"/>
        <w:rPr>
          <w:rFonts w:hint="default" w:ascii="Times New Roman" w:hAnsi="Times New Roman" w:cs="Times New Roman"/>
          <w:kern w:val="0"/>
          <w:szCs w:val="32"/>
        </w:rPr>
      </w:pPr>
      <w:r>
        <w:rPr>
          <w:rFonts w:hint="default" w:ascii="Times New Roman" w:hAnsi="Times New Roman" w:cs="Times New Roman"/>
          <w:b/>
          <w:kern w:val="0"/>
          <w:szCs w:val="32"/>
        </w:rPr>
        <w:t>2</w:t>
      </w:r>
      <w:r>
        <w:rPr>
          <w:rFonts w:hint="eastAsia" w:cs="Times New Roman"/>
          <w:b/>
          <w:kern w:val="0"/>
          <w:szCs w:val="32"/>
          <w:lang w:val="en-US" w:eastAsia="zh-CN"/>
        </w:rPr>
        <w:t>.</w:t>
      </w:r>
      <w:r>
        <w:rPr>
          <w:rFonts w:hint="default" w:ascii="Times New Roman" w:hAnsi="Times New Roman" w:cs="Times New Roman"/>
          <w:b/>
          <w:kern w:val="0"/>
          <w:szCs w:val="32"/>
        </w:rPr>
        <w:t>非金融类增值服务。</w:t>
      </w:r>
      <w:r>
        <w:rPr>
          <w:rFonts w:hint="default" w:ascii="Times New Roman" w:hAnsi="Times New Roman" w:cs="Times New Roman"/>
          <w:kern w:val="0"/>
          <w:szCs w:val="32"/>
        </w:rPr>
        <w:t>“英才卡”持卡人可享受四项增值服务：（1）出行服务，包括每年10人次江北机场要客服务（需提前致电96899预约），每次最多可随行2人（须占人次），享受专用安检通道、贵宾摆渡车等；不限次成渝火车站/高铁站贵宾厅服务，随行不超5人；积分兑换龙腾商旅出行贵宾厅服务，使用龙腾全国异地45家高铁贵宾厅，111个机场的415个休息室，境外390个机场的702个休息室；（2）加油服务，按照加油金额享受加油折扣优惠；（3）体检服务（需提前致电96899预约），可享受银行为贵宾客户定制的钻石卡等级体检服务；（4）救援服务，享受道路救援、家庭救援等服务。</w:t>
      </w:r>
    </w:p>
    <w:p>
      <w:pPr>
        <w:keepNext w:val="0"/>
        <w:keepLines w:val="0"/>
        <w:pageBreakBefore w:val="0"/>
        <w:kinsoku/>
        <w:wordWrap/>
        <w:overflowPunct/>
        <w:topLinePunct/>
        <w:autoSpaceDE/>
        <w:autoSpaceDN/>
        <w:bidi w:val="0"/>
        <w:adjustRightInd w:val="0"/>
        <w:snapToGrid w:val="0"/>
        <w:spacing w:line="600" w:lineRule="exact"/>
        <w:ind w:firstLine="643" w:firstLineChars="200"/>
        <w:textAlignment w:val="auto"/>
        <w:rPr>
          <w:rFonts w:hint="default" w:ascii="Times New Roman" w:hAnsi="Times New Roman" w:cs="Times New Roman"/>
          <w:kern w:val="0"/>
          <w:szCs w:val="32"/>
        </w:rPr>
      </w:pPr>
      <w:r>
        <w:rPr>
          <w:rFonts w:hint="default" w:ascii="Times New Roman" w:hAnsi="Times New Roman" w:cs="Times New Roman"/>
          <w:b/>
          <w:kern w:val="0"/>
          <w:szCs w:val="32"/>
        </w:rPr>
        <w:t>3</w:t>
      </w:r>
      <w:r>
        <w:rPr>
          <w:rFonts w:hint="eastAsia" w:cs="Times New Roman"/>
          <w:b/>
          <w:kern w:val="0"/>
          <w:szCs w:val="32"/>
          <w:lang w:val="en-US" w:eastAsia="zh-CN"/>
        </w:rPr>
        <w:t>.</w:t>
      </w:r>
      <w:r>
        <w:rPr>
          <w:rFonts w:hint="default" w:ascii="Times New Roman" w:hAnsi="Times New Roman" w:cs="Times New Roman"/>
          <w:b/>
          <w:kern w:val="0"/>
          <w:szCs w:val="32"/>
        </w:rPr>
        <w:t>服务更新。</w:t>
      </w:r>
      <w:r>
        <w:rPr>
          <w:rFonts w:hint="default" w:ascii="Times New Roman" w:hAnsi="Times New Roman" w:cs="Times New Roman"/>
          <w:kern w:val="0"/>
          <w:szCs w:val="32"/>
        </w:rPr>
        <w:t>人才增值服务根据重庆银行具体情况每年更新，以重庆银行最新公布为准（部分服务有次数限制，或者积分限制。重庆银行每年赠送一定积分给“英才卡”持卡人，持卡人也可通过重庆银行开展的业务获取积分）。</w:t>
      </w:r>
    </w:p>
    <w:bookmarkEnd w:id="1"/>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三、优化服务流程</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r>
        <w:rPr>
          <w:rFonts w:hint="default" w:ascii="Times New Roman" w:hAnsi="Times New Roman" w:eastAsia="方正楷体_GBK" w:cs="Times New Roman"/>
          <w:kern w:val="0"/>
          <w:szCs w:val="32"/>
        </w:rPr>
        <w:t>（一）办理“英才卡”：</w:t>
      </w:r>
      <w:r>
        <w:rPr>
          <w:rFonts w:hint="default" w:ascii="Times New Roman" w:hAnsi="Times New Roman" w:cs="Times New Roman"/>
          <w:kern w:val="0"/>
          <w:szCs w:val="32"/>
        </w:rPr>
        <w:t>高层次人才持本人身份证（港澳通行证、护照、居住证等有效证件）与重庆市人才服务证即可选择预约重庆银行上门服务或者预约到重庆银行指定网点现场办理（请用人单位在附件2中选择并注明办理方式，选定的开卡网点原则上不再变更，网点地址详见附件4）。重庆银行受理网点应提供绿色通道，安排专人提供优质服务现场办结。</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r>
        <w:rPr>
          <w:rFonts w:hint="default" w:ascii="Times New Roman" w:hAnsi="Times New Roman" w:eastAsia="方正楷体_GBK" w:cs="Times New Roman"/>
          <w:kern w:val="0"/>
          <w:szCs w:val="32"/>
        </w:rPr>
        <w:t>（二）办理“人才贷”：</w:t>
      </w:r>
      <w:r>
        <w:rPr>
          <w:rFonts w:hint="default" w:ascii="Times New Roman" w:hAnsi="Times New Roman" w:cs="Times New Roman"/>
          <w:kern w:val="0"/>
          <w:szCs w:val="32"/>
        </w:rPr>
        <w:t>（1）持“英才卡”的高层次人才可选择办理“人才贷”业务（须在重庆银行办理开卡，具体服务以重庆银行相关产品和服务细则为准）。（2）知识信用贷、人才创业贷、房产抵押贷、流动资金贷、工业用房按揭贷等五类贷款服务的办理以重庆银行相关产品和服务细则为准，重庆银行提供专员服务，快捷办理。</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（三）享受非金融类增值服务：</w:t>
      </w:r>
      <w:r>
        <w:rPr>
          <w:rFonts w:hint="default" w:ascii="Times New Roman" w:hAnsi="Times New Roman" w:cs="Times New Roman"/>
          <w:kern w:val="0"/>
          <w:szCs w:val="32"/>
        </w:rPr>
        <w:t>持“英才卡”的高层次人才直接拨打96899预约获取出行、体检、救援等各项人才增值服务（其中，救援服务须在开户后拨打96899人工激活后方可开通）。</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四、落实服务职责</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（一）市人才交流服务中心（市高层次人才“一站式”服务平台）职责：</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rPr>
      </w:pPr>
      <w:r>
        <w:rPr>
          <w:rFonts w:hint="default" w:ascii="Times New Roman" w:hAnsi="Times New Roman" w:cs="Times New Roman"/>
        </w:rPr>
        <w:t>1.归集重庆市人才服务证和“英才卡”申办人员名单，负责名单人员的新增、注销等工作；</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2.将加盖鲜章的申办或注销“英才卡”的人才名单纸质件（附件3）与刻录成光盘的电子件经机要通道将名单提供给重庆银行（重庆银行向市人才交流服务中心提供相关资料参照上述方式进行传递）并确保人才名单的准确性和有效性；</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rPr>
      </w:pPr>
      <w:r>
        <w:rPr>
          <w:rFonts w:hint="default" w:ascii="Times New Roman" w:hAnsi="Times New Roman" w:cs="Times New Roman"/>
        </w:rPr>
        <w:t>3.政策宣传和咨询；</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rPr>
      </w:pPr>
      <w:r>
        <w:rPr>
          <w:rFonts w:hint="default" w:ascii="Times New Roman" w:hAnsi="Times New Roman" w:cs="Times New Roman"/>
        </w:rPr>
        <w:t>4.受理服务中的投诉及建议；</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rPr>
      </w:pPr>
      <w:r>
        <w:rPr>
          <w:rFonts w:hint="default" w:ascii="Times New Roman" w:hAnsi="Times New Roman" w:cs="Times New Roman"/>
        </w:rPr>
        <w:t>5.协助市金融发展服务中心对服务进行评价监督；</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6.定期召开工作联席会，协调解决服务中出现的问题并向上级领导单位汇报情况。</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eastAsia="方正楷体_GBK" w:cs="Times New Roman"/>
          <w:kern w:val="0"/>
          <w:szCs w:val="32"/>
        </w:rPr>
      </w:pPr>
      <w:r>
        <w:rPr>
          <w:rFonts w:hint="default" w:ascii="Times New Roman" w:hAnsi="Times New Roman" w:eastAsia="方正楷体_GBK" w:cs="Times New Roman"/>
        </w:rPr>
        <w:t>（二）</w:t>
      </w:r>
      <w:r>
        <w:rPr>
          <w:rFonts w:hint="default" w:ascii="Times New Roman" w:hAnsi="Times New Roman" w:eastAsia="方正楷体_GBK" w:cs="Times New Roman"/>
          <w:kern w:val="0"/>
          <w:szCs w:val="32"/>
        </w:rPr>
        <w:t>市金融发展服务中心职责：</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r>
        <w:rPr>
          <w:rFonts w:hint="default" w:ascii="Times New Roman" w:hAnsi="Times New Roman" w:cs="Times New Roman"/>
        </w:rPr>
        <w:t>1</w:t>
      </w:r>
      <w:r>
        <w:rPr>
          <w:rFonts w:hint="eastAsia" w:cs="Times New Roman"/>
          <w:lang w:val="en-US" w:eastAsia="zh-CN"/>
        </w:rPr>
        <w:t>.</w:t>
      </w:r>
      <w:r>
        <w:rPr>
          <w:rFonts w:hint="default" w:ascii="Times New Roman" w:hAnsi="Times New Roman" w:cs="Times New Roman"/>
        </w:rPr>
        <w:t>汇总</w:t>
      </w:r>
      <w:r>
        <w:rPr>
          <w:rFonts w:hint="default" w:ascii="Times New Roman" w:hAnsi="Times New Roman" w:cs="Times New Roman"/>
          <w:kern w:val="0"/>
          <w:szCs w:val="32"/>
        </w:rPr>
        <w:t>实施方案落实情况，开展工作总结，</w:t>
      </w:r>
      <w:r>
        <w:rPr>
          <w:rFonts w:hint="default" w:ascii="Times New Roman" w:hAnsi="Times New Roman" w:cs="Times New Roman"/>
        </w:rPr>
        <w:t>定期</w:t>
      </w:r>
      <w:r>
        <w:rPr>
          <w:rFonts w:hint="default" w:ascii="Times New Roman" w:hAnsi="Times New Roman" w:cs="Times New Roman"/>
          <w:kern w:val="0"/>
          <w:szCs w:val="32"/>
        </w:rPr>
        <w:t>向</w:t>
      </w:r>
      <w:r>
        <w:rPr>
          <w:rFonts w:hint="default" w:ascii="Times New Roman" w:hAnsi="Times New Roman" w:cs="Times New Roman"/>
        </w:rPr>
        <w:t>上级领导单位</w:t>
      </w:r>
      <w:r>
        <w:rPr>
          <w:rFonts w:hint="default" w:ascii="Times New Roman" w:hAnsi="Times New Roman" w:cs="Times New Roman"/>
          <w:kern w:val="0"/>
          <w:szCs w:val="32"/>
        </w:rPr>
        <w:t>汇报</w:t>
      </w:r>
      <w:r>
        <w:rPr>
          <w:rFonts w:hint="default" w:ascii="Times New Roman" w:hAnsi="Times New Roman" w:cs="Times New Roman"/>
        </w:rPr>
        <w:t>情况</w:t>
      </w:r>
      <w:r>
        <w:rPr>
          <w:rFonts w:hint="default" w:ascii="Times New Roman" w:hAnsi="Times New Roman" w:cs="Times New Roman"/>
          <w:kern w:val="0"/>
          <w:szCs w:val="32"/>
        </w:rPr>
        <w:t>；</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r>
        <w:rPr>
          <w:rFonts w:hint="default" w:ascii="Times New Roman" w:hAnsi="Times New Roman" w:cs="Times New Roman"/>
          <w:kern w:val="0"/>
          <w:szCs w:val="32"/>
        </w:rPr>
        <w:t>2</w:t>
      </w:r>
      <w:r>
        <w:rPr>
          <w:rFonts w:hint="eastAsia" w:cs="Times New Roman"/>
          <w:kern w:val="0"/>
          <w:szCs w:val="32"/>
          <w:lang w:val="en-US" w:eastAsia="zh-CN"/>
        </w:rPr>
        <w:t>.</w:t>
      </w:r>
      <w:r>
        <w:rPr>
          <w:rFonts w:hint="default" w:ascii="Times New Roman" w:hAnsi="Times New Roman" w:cs="Times New Roman"/>
          <w:kern w:val="0"/>
          <w:szCs w:val="32"/>
        </w:rPr>
        <w:t>牵头评估“人才贷”及相关金融服务成效，统计</w:t>
      </w:r>
      <w:r>
        <w:rPr>
          <w:rFonts w:hint="default" w:ascii="Times New Roman" w:hAnsi="Times New Roman" w:cs="Times New Roman"/>
        </w:rPr>
        <w:t>信贷规模等相关数据，</w:t>
      </w:r>
      <w:r>
        <w:rPr>
          <w:rFonts w:hint="default" w:ascii="Times New Roman" w:hAnsi="Times New Roman" w:cs="Times New Roman"/>
          <w:kern w:val="0"/>
          <w:szCs w:val="32"/>
        </w:rPr>
        <w:t>向市级有关部门提出工作建议；</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r>
        <w:rPr>
          <w:rFonts w:hint="default" w:ascii="Times New Roman" w:hAnsi="Times New Roman" w:cs="Times New Roman"/>
          <w:kern w:val="0"/>
          <w:szCs w:val="32"/>
        </w:rPr>
        <w:t>3</w:t>
      </w:r>
      <w:r>
        <w:rPr>
          <w:rFonts w:hint="eastAsia" w:cs="Times New Roman"/>
          <w:kern w:val="0"/>
          <w:szCs w:val="32"/>
          <w:lang w:val="en-US" w:eastAsia="zh-CN"/>
        </w:rPr>
        <w:t>.</w:t>
      </w:r>
      <w:r>
        <w:rPr>
          <w:rFonts w:hint="default" w:ascii="Times New Roman" w:hAnsi="Times New Roman" w:cs="Times New Roman"/>
          <w:kern w:val="0"/>
          <w:szCs w:val="32"/>
        </w:rPr>
        <w:t>协调市级金融监管机构，</w:t>
      </w:r>
      <w:r>
        <w:rPr>
          <w:rFonts w:hint="default" w:ascii="Times New Roman" w:hAnsi="Times New Roman" w:cs="Times New Roman"/>
        </w:rPr>
        <w:t>维护良好金融秩序</w:t>
      </w:r>
      <w:r>
        <w:rPr>
          <w:rFonts w:hint="default" w:ascii="Times New Roman" w:hAnsi="Times New Roman" w:cs="Times New Roman"/>
          <w:kern w:val="0"/>
          <w:szCs w:val="32"/>
        </w:rPr>
        <w:t>；</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rPr>
      </w:pPr>
      <w:r>
        <w:rPr>
          <w:rFonts w:hint="default" w:ascii="Times New Roman" w:hAnsi="Times New Roman" w:cs="Times New Roman"/>
        </w:rPr>
        <w:t>4</w:t>
      </w:r>
      <w:r>
        <w:rPr>
          <w:rFonts w:hint="eastAsia" w:cs="Times New Roman"/>
          <w:lang w:val="en-US" w:eastAsia="zh-CN"/>
        </w:rPr>
        <w:t>.</w:t>
      </w:r>
      <w:r>
        <w:rPr>
          <w:rFonts w:hint="default" w:ascii="Times New Roman" w:hAnsi="Times New Roman" w:cs="Times New Roman"/>
        </w:rPr>
        <w:t>政策宣传和咨询；</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5</w:t>
      </w:r>
      <w:r>
        <w:rPr>
          <w:rFonts w:hint="eastAsia" w:cs="Times New Roman"/>
          <w:lang w:val="en-US" w:eastAsia="zh-CN"/>
        </w:rPr>
        <w:t>.</w:t>
      </w:r>
      <w:r>
        <w:rPr>
          <w:rFonts w:hint="default" w:ascii="Times New Roman" w:hAnsi="Times New Roman" w:cs="Times New Roman"/>
        </w:rPr>
        <w:t>会同市人才交流服务中心、重庆银行开展其他相关工作。</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eastAsia="方正楷体_GBK" w:cs="Times New Roman"/>
        </w:rPr>
      </w:pPr>
      <w:r>
        <w:rPr>
          <w:rFonts w:hint="default" w:ascii="Times New Roman" w:hAnsi="Times New Roman" w:eastAsia="方正楷体_GBK" w:cs="Times New Roman"/>
        </w:rPr>
        <w:t>（三）重庆银行职责：</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1.统筹协调、指导督促各支行兑现落实各项服务；</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2.制作“英才卡”服务指南，为“英才卡”持卡客户提供相关产品和服务介绍及具体流程指引；</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3.组织开展业务技能和职业道德培训；</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4.受理服务中的投诉及建议；</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5.检查指导解决服务中出现的问题；</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6.组织开展与服务相关的活动；</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 xml:space="preserve">7.按程序提供申办“人才贷”未通过人员名单，以及“人才贷”相关业务信息； </w:t>
      </w:r>
    </w:p>
    <w:p>
      <w:pPr>
        <w:keepNext w:val="0"/>
        <w:keepLines w:val="0"/>
        <w:pageBreakBefore w:val="0"/>
        <w:kinsoku/>
        <w:wordWrap/>
        <w:overflow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rPr>
      </w:pPr>
      <w:r>
        <w:rPr>
          <w:rFonts w:hint="default" w:ascii="Times New Roman" w:hAnsi="Times New Roman" w:cs="Times New Roman"/>
        </w:rPr>
        <w:t>8.做好人才信息、业务数据等保密工作。</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（四）用人单位职责：</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rPr>
      </w:pPr>
      <w:r>
        <w:rPr>
          <w:rFonts w:hint="default" w:ascii="Times New Roman" w:hAnsi="Times New Roman" w:cs="Times New Roman"/>
        </w:rPr>
        <w:t>1.负责将此项服务宣传到本单位的高层次人才，并对有意愿申办“英才卡”的人才名单报市人才交流服务中心；</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rPr>
      </w:pPr>
      <w:r>
        <w:rPr>
          <w:rFonts w:hint="default" w:ascii="Times New Roman" w:hAnsi="Times New Roman" w:cs="Times New Roman"/>
        </w:rPr>
        <w:t>2.协助本单位高层次人才开通“英才卡”；</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rPr>
      </w:pPr>
      <w:r>
        <w:rPr>
          <w:rFonts w:hint="default" w:ascii="Times New Roman" w:hAnsi="Times New Roman" w:cs="Times New Roman"/>
        </w:rPr>
        <w:t>3.承担高层次人才服务需求的联络和其他服务；</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楷体_GBK" w:cs="Times New Roman"/>
          <w:kern w:val="0"/>
          <w:szCs w:val="32"/>
        </w:rPr>
      </w:pPr>
      <w:r>
        <w:rPr>
          <w:rFonts w:hint="default" w:ascii="Times New Roman" w:hAnsi="Times New Roman" w:cs="Times New Roman"/>
        </w:rPr>
        <w:t>4.反馈服务中出现的问题建议。</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五、优化服务环境</w:t>
      </w:r>
    </w:p>
    <w:p>
      <w:pPr>
        <w:keepNext w:val="0"/>
        <w:keepLines w:val="0"/>
        <w:pageBreakBefore w:val="0"/>
        <w:widowControl w:val="0"/>
        <w:kinsoku/>
        <w:wordWrap/>
        <w:overflowPunct/>
        <w:topLinePunct/>
        <w:autoSpaceDE/>
        <w:autoSpaceDN/>
        <w:bidi w:val="0"/>
        <w:adjustRightInd/>
        <w:snapToGrid/>
        <w:spacing w:line="600" w:lineRule="exact"/>
        <w:ind w:firstLine="640" w:firstLineChars="200"/>
        <w:textAlignment w:val="auto"/>
        <w:rPr>
          <w:rFonts w:hint="default" w:ascii="Times New Roman" w:hAnsi="Times New Roman" w:cs="Times New Roman"/>
          <w:kern w:val="0"/>
          <w:szCs w:val="32"/>
        </w:rPr>
      </w:pPr>
      <w:r>
        <w:rPr>
          <w:rFonts w:hint="eastAsia" w:eastAsia="方正楷体_GBK" w:cs="Times New Roman"/>
          <w:kern w:val="0"/>
          <w:szCs w:val="32"/>
          <w:lang w:eastAsia="zh-CN"/>
        </w:rPr>
        <w:t>（一）</w:t>
      </w:r>
      <w:r>
        <w:rPr>
          <w:rFonts w:hint="default" w:ascii="Times New Roman" w:hAnsi="Times New Roman" w:eastAsia="方正楷体_GBK" w:cs="Times New Roman"/>
          <w:kern w:val="0"/>
          <w:szCs w:val="32"/>
        </w:rPr>
        <w:t>加强统筹联动，营造良好氛围。</w:t>
      </w:r>
      <w:r>
        <w:rPr>
          <w:rFonts w:hint="default" w:ascii="Times New Roman" w:hAnsi="Times New Roman" w:cs="Times New Roman"/>
          <w:kern w:val="0"/>
          <w:szCs w:val="32"/>
        </w:rPr>
        <w:t>加强市、区县有关人才公共服务机构与金融机构的协同推进，进一步细化服务保障，在重庆机场贵宾厅等服务场景共同营造“近悦远来”的人才氛围。</w:t>
      </w:r>
    </w:p>
    <w:p>
      <w:pPr>
        <w:keepNext w:val="0"/>
        <w:keepLines w:val="0"/>
        <w:pageBreakBefore w:val="0"/>
        <w:widowControl w:val="0"/>
        <w:kinsoku/>
        <w:wordWrap/>
        <w:overflowPunct/>
        <w:topLinePunct/>
        <w:autoSpaceDE/>
        <w:autoSpaceDN/>
        <w:bidi w:val="0"/>
        <w:adjustRightInd/>
        <w:snapToGrid/>
        <w:spacing w:line="600" w:lineRule="exact"/>
        <w:ind w:firstLine="640" w:firstLineChars="200"/>
        <w:textAlignment w:val="auto"/>
        <w:rPr>
          <w:rFonts w:hint="default" w:ascii="Times New Roman" w:hAnsi="Times New Roman" w:cs="Times New Roman"/>
          <w:kern w:val="0"/>
          <w:szCs w:val="32"/>
        </w:rPr>
      </w:pPr>
      <w:r>
        <w:rPr>
          <w:rFonts w:hint="eastAsia" w:ascii="方正楷体_GBK" w:hAnsi="方正楷体_GBK" w:eastAsia="方正楷体_GBK" w:cs="方正楷体_GBK"/>
          <w:kern w:val="0"/>
          <w:szCs w:val="32"/>
          <w:lang w:eastAsia="zh-CN"/>
        </w:rPr>
        <w:t>（二）</w:t>
      </w:r>
      <w:r>
        <w:rPr>
          <w:rFonts w:hint="eastAsia" w:ascii="方正楷体_GBK" w:hAnsi="方正楷体_GBK" w:eastAsia="方正楷体_GBK" w:cs="方正楷体_GBK"/>
          <w:kern w:val="0"/>
          <w:szCs w:val="32"/>
        </w:rPr>
        <w:t>不断改进完善，提升服务质量。</w:t>
      </w:r>
      <w:r>
        <w:rPr>
          <w:rFonts w:hint="default" w:ascii="Times New Roman" w:hAnsi="Times New Roman" w:cs="Times New Roman"/>
          <w:kern w:val="0"/>
          <w:szCs w:val="32"/>
        </w:rPr>
        <w:t>随“人才贷”相关工作的逐步推进、落实到位，不断调整优化相关服务内容，促进高层次人才“人才贷”及相关金融服务做优做好。</w:t>
      </w:r>
    </w:p>
    <w:p>
      <w:pPr>
        <w:keepNext w:val="0"/>
        <w:keepLines w:val="0"/>
        <w:pageBreakBefore w:val="0"/>
        <w:widowControl w:val="0"/>
        <w:kinsoku/>
        <w:wordWrap/>
        <w:overflowPunct/>
        <w:topLinePunct/>
        <w:autoSpaceDE/>
        <w:autoSpaceDN/>
        <w:bidi w:val="0"/>
        <w:adjustRightInd/>
        <w:snapToGrid/>
        <w:spacing w:line="600" w:lineRule="exact"/>
        <w:ind w:firstLine="640" w:firstLineChars="200"/>
        <w:textAlignment w:val="auto"/>
        <w:rPr>
          <w:rFonts w:hint="default" w:ascii="Times New Roman" w:hAnsi="Times New Roman" w:cs="Times New Roman"/>
          <w:kern w:val="0"/>
          <w:szCs w:val="32"/>
        </w:rPr>
      </w:pPr>
      <w:r>
        <w:rPr>
          <w:rFonts w:hint="eastAsia" w:ascii="方正楷体_GBK" w:hAnsi="方正楷体_GBK" w:eastAsia="方正楷体_GBK" w:cs="方正楷体_GBK"/>
          <w:kern w:val="0"/>
          <w:szCs w:val="32"/>
          <w:lang w:eastAsia="zh-CN"/>
        </w:rPr>
        <w:t>（三）</w:t>
      </w:r>
      <w:r>
        <w:rPr>
          <w:rFonts w:hint="eastAsia" w:ascii="方正楷体_GBK" w:hAnsi="方正楷体_GBK" w:eastAsia="方正楷体_GBK" w:cs="方正楷体_GBK"/>
          <w:kern w:val="0"/>
          <w:szCs w:val="32"/>
        </w:rPr>
        <w:t>立足相关政策，探索服务延伸。</w:t>
      </w:r>
      <w:r>
        <w:rPr>
          <w:rFonts w:hint="default" w:ascii="Times New Roman" w:hAnsi="Times New Roman" w:cs="Times New Roman"/>
          <w:kern w:val="0"/>
          <w:szCs w:val="32"/>
        </w:rPr>
        <w:t>区县人才公共服务机构可参照“英才卡”发卡办理流程，与重庆银行区县各分支机构对接重庆银行其他银行卡服务（如“蒲公英卡”），探索为持有区县级人才服务证的人才提供相关金融服务。</w:t>
      </w:r>
    </w:p>
    <w:p>
      <w:pPr>
        <w:keepNext w:val="0"/>
        <w:keepLines w:val="0"/>
        <w:pageBreakBefore w:val="0"/>
        <w:kinsoku/>
        <w:wordWrap/>
        <w:overflowPunct/>
        <w:topLinePunct/>
        <w:autoSpaceDE/>
        <w:autoSpaceDN/>
        <w:bidi w:val="0"/>
        <w:adjustRightInd w:val="0"/>
        <w:snapToGrid w:val="0"/>
        <w:spacing w:line="600" w:lineRule="exact"/>
        <w:ind w:firstLine="640" w:firstLineChars="200"/>
        <w:textAlignment w:val="auto"/>
        <w:rPr>
          <w:rFonts w:hint="default" w:ascii="Times New Roman" w:hAnsi="Times New Roman" w:cs="Times New Roman"/>
          <w:kern w:val="0"/>
          <w:szCs w:val="32"/>
        </w:rPr>
      </w:pPr>
    </w:p>
    <w:p>
      <w:pPr>
        <w:keepNext w:val="0"/>
        <w:keepLines w:val="0"/>
        <w:pageBreakBefore w:val="0"/>
        <w:widowControl/>
        <w:kinsoku/>
        <w:wordWrap/>
        <w:overflowPunct/>
        <w:autoSpaceDE/>
        <w:autoSpaceDN/>
        <w:bidi w:val="0"/>
        <w:adjustRightInd w:val="0"/>
        <w:snapToGrid w:val="0"/>
        <w:spacing w:line="600" w:lineRule="exact"/>
        <w:ind w:firstLine="672" w:firstLineChars="200"/>
        <w:textAlignment w:val="auto"/>
        <w:rPr>
          <w:rFonts w:hint="default" w:ascii="Times New Roman" w:hAnsi="Times New Roman" w:cs="Times New Roman"/>
          <w:spacing w:val="8"/>
          <w:kern w:val="0"/>
          <w:szCs w:val="32"/>
        </w:rPr>
      </w:pPr>
      <w:r>
        <w:rPr>
          <w:rFonts w:hint="default" w:ascii="Times New Roman" w:hAnsi="Times New Roman" w:cs="Times New Roman"/>
          <w:spacing w:val="8"/>
          <w:kern w:val="0"/>
          <w:szCs w:val="32"/>
        </w:rPr>
        <w:t xml:space="preserve">联系人及电话： </w:t>
      </w:r>
    </w:p>
    <w:p>
      <w:pPr>
        <w:keepNext w:val="0"/>
        <w:keepLines w:val="0"/>
        <w:pageBreakBefore w:val="0"/>
        <w:widowControl/>
        <w:kinsoku/>
        <w:wordWrap/>
        <w:overflowPunct/>
        <w:autoSpaceDE/>
        <w:autoSpaceDN/>
        <w:bidi w:val="0"/>
        <w:adjustRightInd w:val="0"/>
        <w:snapToGrid w:val="0"/>
        <w:spacing w:line="600" w:lineRule="exact"/>
        <w:ind w:firstLine="672" w:firstLineChars="200"/>
        <w:textAlignment w:val="auto"/>
        <w:rPr>
          <w:rFonts w:hint="default" w:ascii="Times New Roman" w:hAnsi="Times New Roman" w:cs="Times New Roman"/>
          <w:spacing w:val="8"/>
          <w:kern w:val="0"/>
          <w:szCs w:val="32"/>
        </w:rPr>
      </w:pPr>
      <w:r>
        <w:rPr>
          <w:rFonts w:hint="default" w:ascii="Times New Roman" w:hAnsi="Times New Roman" w:cs="Times New Roman"/>
          <w:spacing w:val="8"/>
          <w:kern w:val="0"/>
          <w:szCs w:val="32"/>
        </w:rPr>
        <w:t>梅老师，023-88212062（市人才交流服务中心）</w:t>
      </w:r>
    </w:p>
    <w:p>
      <w:pPr>
        <w:keepNext w:val="0"/>
        <w:keepLines w:val="0"/>
        <w:pageBreakBefore w:val="0"/>
        <w:widowControl/>
        <w:kinsoku/>
        <w:wordWrap/>
        <w:overflowPunct/>
        <w:autoSpaceDE/>
        <w:autoSpaceDN/>
        <w:bidi w:val="0"/>
        <w:adjustRightInd w:val="0"/>
        <w:snapToGrid w:val="0"/>
        <w:spacing w:line="600" w:lineRule="exact"/>
        <w:ind w:firstLine="672" w:firstLineChars="200"/>
        <w:textAlignment w:val="auto"/>
        <w:rPr>
          <w:rFonts w:hint="default" w:ascii="Times New Roman" w:hAnsi="Times New Roman" w:cs="Times New Roman"/>
          <w:spacing w:val="8"/>
          <w:kern w:val="0"/>
          <w:szCs w:val="32"/>
        </w:rPr>
      </w:pPr>
      <w:r>
        <w:rPr>
          <w:rFonts w:hint="default" w:ascii="Times New Roman" w:hAnsi="Times New Roman" w:cs="Times New Roman"/>
          <w:spacing w:val="8"/>
          <w:kern w:val="0"/>
          <w:szCs w:val="32"/>
        </w:rPr>
        <w:t>叶老师，023-88723762（市人才交流服务中心）</w:t>
      </w:r>
    </w:p>
    <w:p>
      <w:pPr>
        <w:keepNext w:val="0"/>
        <w:keepLines w:val="0"/>
        <w:pageBreakBefore w:val="0"/>
        <w:widowControl/>
        <w:kinsoku/>
        <w:wordWrap/>
        <w:overflowPunct/>
        <w:autoSpaceDE/>
        <w:autoSpaceDN/>
        <w:bidi w:val="0"/>
        <w:adjustRightInd w:val="0"/>
        <w:snapToGrid w:val="0"/>
        <w:spacing w:line="600" w:lineRule="exact"/>
        <w:ind w:firstLine="672" w:firstLineChars="200"/>
        <w:textAlignment w:val="auto"/>
        <w:rPr>
          <w:rFonts w:hint="default" w:ascii="Times New Roman" w:hAnsi="Times New Roman" w:cs="Times New Roman"/>
          <w:spacing w:val="8"/>
          <w:kern w:val="0"/>
          <w:szCs w:val="32"/>
        </w:rPr>
      </w:pPr>
      <w:r>
        <w:rPr>
          <w:rFonts w:hint="default" w:ascii="Times New Roman" w:hAnsi="Times New Roman" w:cs="Times New Roman"/>
          <w:spacing w:val="8"/>
          <w:kern w:val="0"/>
          <w:szCs w:val="32"/>
        </w:rPr>
        <w:t>付老师，023-63418101（市金融发展服务中心）</w:t>
      </w:r>
    </w:p>
    <w:p>
      <w:pPr>
        <w:keepNext w:val="0"/>
        <w:keepLines w:val="0"/>
        <w:pageBreakBefore w:val="0"/>
        <w:widowControl/>
        <w:kinsoku/>
        <w:wordWrap/>
        <w:overflowPunct/>
        <w:autoSpaceDE/>
        <w:autoSpaceDN/>
        <w:bidi w:val="0"/>
        <w:adjustRightInd w:val="0"/>
        <w:snapToGrid w:val="0"/>
        <w:spacing w:line="600" w:lineRule="exact"/>
        <w:ind w:firstLine="672" w:firstLineChars="200"/>
        <w:textAlignment w:val="auto"/>
        <w:rPr>
          <w:rFonts w:hint="default" w:ascii="Times New Roman" w:hAnsi="Times New Roman" w:cs="Times New Roman"/>
          <w:spacing w:val="8"/>
          <w:kern w:val="0"/>
          <w:szCs w:val="32"/>
        </w:rPr>
      </w:pPr>
      <w:r>
        <w:rPr>
          <w:rFonts w:hint="default" w:ascii="Times New Roman" w:hAnsi="Times New Roman" w:cs="Times New Roman"/>
          <w:spacing w:val="8"/>
          <w:kern w:val="0"/>
          <w:szCs w:val="32"/>
        </w:rPr>
        <w:t>何老师，023-63367185（重庆银行）</w:t>
      </w:r>
    </w:p>
    <w:p>
      <w:pPr>
        <w:keepNext w:val="0"/>
        <w:keepLines w:val="0"/>
        <w:pageBreakBefore w:val="0"/>
        <w:widowControl/>
        <w:kinsoku/>
        <w:wordWrap/>
        <w:overflowPunct/>
        <w:autoSpaceDE/>
        <w:autoSpaceDN/>
        <w:bidi w:val="0"/>
        <w:adjustRightInd w:val="0"/>
        <w:snapToGrid w:val="0"/>
        <w:spacing w:line="600" w:lineRule="exact"/>
        <w:ind w:firstLine="672" w:firstLineChars="200"/>
        <w:textAlignment w:val="auto"/>
        <w:rPr>
          <w:rFonts w:hint="default" w:ascii="Times New Roman" w:hAnsi="Times New Roman" w:cs="Times New Roman"/>
          <w:spacing w:val="8"/>
          <w:kern w:val="0"/>
          <w:szCs w:val="32"/>
        </w:rPr>
      </w:pPr>
      <w:r>
        <w:rPr>
          <w:rFonts w:hint="default" w:ascii="Times New Roman" w:hAnsi="Times New Roman" w:cs="Times New Roman"/>
          <w:spacing w:val="8"/>
          <w:kern w:val="0"/>
          <w:szCs w:val="32"/>
        </w:rPr>
        <w:t>朱老师，023-63367178（重庆银行）</w:t>
      </w:r>
    </w:p>
    <w:p>
      <w:pPr>
        <w:keepNext w:val="0"/>
        <w:keepLines w:val="0"/>
        <w:pageBreakBefore w:val="0"/>
        <w:kinsoku/>
        <w:wordWrap/>
        <w:overflowPunct/>
        <w:topLine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kern w:val="0"/>
          <w:szCs w:val="32"/>
        </w:rPr>
      </w:pPr>
    </w:p>
    <w:p>
      <w:pPr>
        <w:keepNext w:val="0"/>
        <w:keepLines w:val="0"/>
        <w:pageBreakBefore w:val="0"/>
        <w:kinsoku/>
        <w:wordWrap/>
        <w:overflowPunct/>
        <w:topLinePunct/>
        <w:autoSpaceDE/>
        <w:autoSpaceDN/>
        <w:bidi w:val="0"/>
        <w:adjustRightInd w:val="0"/>
        <w:snapToGrid w:val="0"/>
        <w:spacing w:line="600" w:lineRule="exact"/>
        <w:ind w:firstLine="640" w:firstLineChars="200"/>
        <w:jc w:val="left"/>
        <w:textAlignment w:val="auto"/>
        <w:rPr>
          <w:rFonts w:hint="default" w:ascii="Times New Roman" w:hAnsi="Times New Roman" w:cs="Times New Roman"/>
          <w:kern w:val="0"/>
          <w:szCs w:val="32"/>
        </w:rPr>
      </w:pPr>
    </w:p>
    <w:p>
      <w:pPr>
        <w:keepNext w:val="0"/>
        <w:keepLines w:val="0"/>
        <w:pageBreakBefore w:val="0"/>
        <w:widowControl w:val="0"/>
        <w:kinsoku/>
        <w:wordWrap/>
        <w:overflowPunct/>
        <w:topLinePunct/>
        <w:autoSpaceDE/>
        <w:autoSpaceDN/>
        <w:bidi w:val="0"/>
        <w:adjustRightInd/>
        <w:snapToGrid/>
        <w:spacing w:line="600" w:lineRule="exact"/>
        <w:ind w:left="960" w:hanging="960" w:hangingChars="300"/>
        <w:jc w:val="left"/>
        <w:textAlignment w:val="auto"/>
        <w:rPr>
          <w:rFonts w:hint="default" w:ascii="Times New Roman" w:hAnsi="Times New Roman" w:cs="Times New Roman"/>
          <w:kern w:val="0"/>
          <w:szCs w:val="32"/>
        </w:rPr>
      </w:pPr>
      <w:r>
        <w:rPr>
          <w:rFonts w:hint="default" w:ascii="Times New Roman" w:hAnsi="Times New Roman" w:cs="Times New Roman"/>
          <w:kern w:val="0"/>
          <w:szCs w:val="32"/>
        </w:rPr>
        <w:t>附件：1.关于为高层次人才提供“人才贷”及相关金融服务的实施方案</w:t>
      </w:r>
    </w:p>
    <w:p>
      <w:pPr>
        <w:keepNext w:val="0"/>
        <w:keepLines w:val="0"/>
        <w:pageBreakBefore w:val="0"/>
        <w:tabs>
          <w:tab w:val="left" w:pos="1134"/>
          <w:tab w:val="left" w:pos="1418"/>
        </w:tabs>
        <w:kinsoku/>
        <w:wordWrap/>
        <w:overflowPunct/>
        <w:topLinePunct/>
        <w:autoSpaceDE/>
        <w:autoSpaceDN/>
        <w:bidi w:val="0"/>
        <w:adjustRightInd w:val="0"/>
        <w:snapToGrid w:val="0"/>
        <w:spacing w:line="600" w:lineRule="exact"/>
        <w:ind w:firstLine="960" w:firstLineChars="300"/>
        <w:textAlignment w:val="auto"/>
        <w:rPr>
          <w:rFonts w:hint="default" w:ascii="Times New Roman" w:hAnsi="Times New Roman" w:cs="Times New Roman"/>
        </w:rPr>
      </w:pPr>
      <w:r>
        <w:rPr>
          <w:rFonts w:hint="default" w:ascii="Times New Roman" w:hAnsi="Times New Roman" w:cs="Times New Roman"/>
        </w:rPr>
        <w:t>2</w:t>
      </w:r>
      <w:r>
        <w:rPr>
          <w:rFonts w:hint="eastAsia" w:cs="Times New Roman"/>
          <w:lang w:val="en-US" w:eastAsia="zh-CN"/>
        </w:rPr>
        <w:t>.</w:t>
      </w:r>
      <w:r>
        <w:rPr>
          <w:rFonts w:hint="default" w:ascii="Times New Roman" w:hAnsi="Times New Roman" w:cs="Times New Roman"/>
        </w:rPr>
        <w:t>重庆市高层次人才申办“英才卡”信息表</w:t>
      </w:r>
    </w:p>
    <w:p>
      <w:pPr>
        <w:keepNext w:val="0"/>
        <w:keepLines w:val="0"/>
        <w:pageBreakBefore w:val="0"/>
        <w:tabs>
          <w:tab w:val="left" w:pos="1134"/>
          <w:tab w:val="left" w:pos="1560"/>
        </w:tabs>
        <w:kinsoku/>
        <w:wordWrap/>
        <w:overflowPunct/>
        <w:topLinePunct/>
        <w:autoSpaceDE/>
        <w:autoSpaceDN/>
        <w:bidi w:val="0"/>
        <w:adjustRightInd w:val="0"/>
        <w:snapToGrid w:val="0"/>
        <w:spacing w:line="600" w:lineRule="exact"/>
        <w:ind w:firstLine="960" w:firstLineChars="300"/>
        <w:textAlignment w:val="auto"/>
        <w:rPr>
          <w:rFonts w:hint="default" w:ascii="Times New Roman" w:hAnsi="Times New Roman" w:cs="Times New Roman"/>
        </w:rPr>
      </w:pPr>
      <w:r>
        <w:rPr>
          <w:rFonts w:hint="default" w:ascii="Times New Roman" w:hAnsi="Times New Roman" w:cs="Times New Roman"/>
        </w:rPr>
        <w:t>3.重庆市高层次人才申办“英才卡”信息反馈表</w:t>
      </w:r>
    </w:p>
    <w:p>
      <w:pPr>
        <w:keepNext w:val="0"/>
        <w:keepLines w:val="0"/>
        <w:pageBreakBefore w:val="0"/>
        <w:tabs>
          <w:tab w:val="left" w:pos="1134"/>
          <w:tab w:val="left" w:pos="1560"/>
        </w:tabs>
        <w:kinsoku/>
        <w:wordWrap/>
        <w:overflowPunct/>
        <w:topLinePunct/>
        <w:autoSpaceDE/>
        <w:autoSpaceDN/>
        <w:bidi w:val="0"/>
        <w:adjustRightInd w:val="0"/>
        <w:snapToGrid w:val="0"/>
        <w:spacing w:line="600" w:lineRule="exact"/>
        <w:ind w:firstLine="960" w:firstLineChars="300"/>
        <w:textAlignment w:val="auto"/>
        <w:rPr>
          <w:rFonts w:hint="default" w:ascii="Times New Roman" w:hAnsi="Times New Roman" w:cs="Times New Roman"/>
        </w:rPr>
      </w:pPr>
      <w:r>
        <w:rPr>
          <w:rFonts w:hint="default" w:ascii="Times New Roman" w:hAnsi="Times New Roman" w:cs="Times New Roman"/>
        </w:rPr>
        <w:t>4</w:t>
      </w:r>
      <w:r>
        <w:rPr>
          <w:rFonts w:hint="eastAsia" w:cs="Times New Roman"/>
          <w:lang w:val="en-US" w:eastAsia="zh-CN"/>
        </w:rPr>
        <w:t>.</w:t>
      </w:r>
      <w:r>
        <w:rPr>
          <w:rFonts w:hint="default" w:ascii="Times New Roman" w:hAnsi="Times New Roman" w:cs="Times New Roman"/>
        </w:rPr>
        <w:t>重庆银行网点一览表</w:t>
      </w:r>
    </w:p>
    <w:p>
      <w:pPr>
        <w:keepNext w:val="0"/>
        <w:keepLines w:val="0"/>
        <w:pageBreakBefore w:val="0"/>
        <w:tabs>
          <w:tab w:val="left" w:pos="1134"/>
          <w:tab w:val="left" w:pos="1418"/>
        </w:tabs>
        <w:kinsoku/>
        <w:wordWrap/>
        <w:overflowPunct/>
        <w:topLinePunct/>
        <w:autoSpaceDE/>
        <w:autoSpaceDN/>
        <w:bidi w:val="0"/>
        <w:adjustRightInd w:val="0"/>
        <w:snapToGrid w:val="0"/>
        <w:spacing w:line="600" w:lineRule="exact"/>
        <w:ind w:firstLine="960" w:firstLineChars="300"/>
        <w:textAlignment w:val="auto"/>
        <w:rPr>
          <w:rFonts w:hint="default" w:ascii="Times New Roman" w:hAnsi="Times New Roman" w:cs="Times New Roman"/>
        </w:rPr>
      </w:pPr>
      <w:r>
        <w:rPr>
          <w:rFonts w:hint="default" w:ascii="Times New Roman" w:hAnsi="Times New Roman" w:cs="Times New Roman"/>
        </w:rPr>
        <w:t>5</w:t>
      </w:r>
      <w:r>
        <w:rPr>
          <w:rFonts w:hint="eastAsia" w:cs="Times New Roman"/>
          <w:lang w:val="en-US" w:eastAsia="zh-CN"/>
        </w:rPr>
        <w:t>.</w:t>
      </w:r>
      <w:r>
        <w:rPr>
          <w:rFonts w:hint="default" w:ascii="Times New Roman" w:hAnsi="Times New Roman" w:cs="Times New Roman"/>
        </w:rPr>
        <w:t>重庆银行“人才贷”服务产品一览表</w:t>
      </w:r>
    </w:p>
    <w:p>
      <w:pPr>
        <w:keepNext w:val="0"/>
        <w:keepLines w:val="0"/>
        <w:pageBreakBefore w:val="0"/>
        <w:tabs>
          <w:tab w:val="left" w:pos="1134"/>
          <w:tab w:val="left" w:pos="1418"/>
        </w:tabs>
        <w:kinsoku/>
        <w:wordWrap/>
        <w:overflowPunct/>
        <w:topLinePunct/>
        <w:autoSpaceDE/>
        <w:autoSpaceDN/>
        <w:bidi w:val="0"/>
        <w:adjustRightInd w:val="0"/>
        <w:snapToGrid w:val="0"/>
        <w:spacing w:line="600" w:lineRule="exact"/>
        <w:ind w:firstLine="960" w:firstLineChars="300"/>
        <w:textAlignment w:val="auto"/>
        <w:rPr>
          <w:rFonts w:hint="default" w:ascii="Times New Roman" w:hAnsi="Times New Roman" w:cs="Times New Roman"/>
        </w:rPr>
      </w:pPr>
      <w:r>
        <w:rPr>
          <w:rFonts w:hint="default" w:ascii="Times New Roman" w:hAnsi="Times New Roman" w:cs="Times New Roman"/>
        </w:rPr>
        <w:t>6</w:t>
      </w:r>
      <w:r>
        <w:rPr>
          <w:rFonts w:hint="eastAsia" w:cs="Times New Roman"/>
          <w:lang w:val="en-US" w:eastAsia="zh-CN"/>
        </w:rPr>
        <w:t>.</w:t>
      </w:r>
      <w:r>
        <w:rPr>
          <w:rFonts w:hint="default" w:ascii="Times New Roman" w:hAnsi="Times New Roman" w:cs="Times New Roman"/>
        </w:rPr>
        <w:t>重庆银行兑换外币流程</w:t>
      </w:r>
    </w:p>
    <w:p>
      <w:pPr>
        <w:keepNext w:val="0"/>
        <w:keepLines w:val="0"/>
        <w:pageBreakBefore w:val="0"/>
        <w:kinsoku/>
        <w:wordWrap/>
        <w:overflowPunct/>
        <w:topLinePunct/>
        <w:autoSpaceDE/>
        <w:autoSpaceDN/>
        <w:bidi w:val="0"/>
        <w:adjustRightInd w:val="0"/>
        <w:snapToGrid w:val="0"/>
        <w:spacing w:line="600" w:lineRule="exact"/>
        <w:ind w:right="960"/>
        <w:textAlignment w:val="auto"/>
        <w:rPr>
          <w:rFonts w:hint="default" w:ascii="Times New Roman" w:hAnsi="Times New Roman" w:cs="Times New Roman"/>
          <w:kern w:val="0"/>
          <w:szCs w:val="32"/>
        </w:rPr>
      </w:pPr>
    </w:p>
    <w:p>
      <w:pPr>
        <w:keepNext w:val="0"/>
        <w:keepLines w:val="0"/>
        <w:pageBreakBefore w:val="0"/>
        <w:kinsoku/>
        <w:wordWrap/>
        <w:overflowPunct/>
        <w:topLinePunct/>
        <w:autoSpaceDE/>
        <w:autoSpaceDN/>
        <w:bidi w:val="0"/>
        <w:adjustRightInd w:val="0"/>
        <w:snapToGrid w:val="0"/>
        <w:spacing w:line="600" w:lineRule="exact"/>
        <w:jc w:val="center"/>
        <w:textAlignment w:val="auto"/>
        <w:rPr>
          <w:rFonts w:hint="default" w:ascii="Times New Roman" w:hAnsi="Times New Roman" w:cs="Times New Roman"/>
          <w:kern w:val="0"/>
          <w:szCs w:val="32"/>
        </w:rPr>
      </w:pPr>
      <w:r>
        <w:rPr>
          <w:rFonts w:hint="eastAsia" w:cs="Times New Roman"/>
          <w:kern w:val="0"/>
          <w:szCs w:val="32"/>
          <w:lang w:val="en-US" w:eastAsia="zh-CN"/>
        </w:rPr>
        <w:t xml:space="preserve">                   </w:t>
      </w:r>
      <w:r>
        <w:rPr>
          <w:rFonts w:hint="default" w:ascii="Times New Roman" w:hAnsi="Times New Roman" w:cs="Times New Roman"/>
          <w:kern w:val="0"/>
          <w:szCs w:val="32"/>
        </w:rPr>
        <w:t xml:space="preserve">重庆市人才交流服务中心       </w:t>
      </w:r>
    </w:p>
    <w:p>
      <w:pPr>
        <w:keepNext w:val="0"/>
        <w:keepLines w:val="0"/>
        <w:pageBreakBefore w:val="0"/>
        <w:kinsoku/>
        <w:wordWrap/>
        <w:overflowPunct/>
        <w:topLinePunct/>
        <w:autoSpaceDE/>
        <w:autoSpaceDN/>
        <w:bidi w:val="0"/>
        <w:adjustRightInd w:val="0"/>
        <w:snapToGrid w:val="0"/>
        <w:spacing w:line="600" w:lineRule="exact"/>
        <w:jc w:val="center"/>
        <w:textAlignment w:val="auto"/>
        <w:rPr>
          <w:rFonts w:hint="default" w:ascii="Times New Roman" w:hAnsi="Times New Roman" w:cs="Times New Roman"/>
          <w:kern w:val="0"/>
          <w:szCs w:val="32"/>
        </w:rPr>
      </w:pPr>
      <w:r>
        <w:rPr>
          <w:rFonts w:hint="eastAsia" w:cs="Times New Roman"/>
          <w:kern w:val="0"/>
          <w:szCs w:val="32"/>
          <w:lang w:val="en-US" w:eastAsia="zh-CN"/>
        </w:rPr>
        <w:t xml:space="preserve">                   </w:t>
      </w:r>
      <w:r>
        <w:rPr>
          <w:rFonts w:hint="default" w:ascii="Times New Roman" w:hAnsi="Times New Roman" w:cs="Times New Roman"/>
          <w:kern w:val="0"/>
          <w:szCs w:val="32"/>
        </w:rPr>
        <w:t>重庆市金融发展服务中心</w:t>
      </w:r>
    </w:p>
    <w:p>
      <w:pPr>
        <w:keepNext w:val="0"/>
        <w:keepLines w:val="0"/>
        <w:pageBreakBefore w:val="0"/>
        <w:kinsoku/>
        <w:wordWrap/>
        <w:overflowPunct/>
        <w:topLinePunct/>
        <w:autoSpaceDE/>
        <w:autoSpaceDN/>
        <w:bidi w:val="0"/>
        <w:adjustRightInd w:val="0"/>
        <w:snapToGrid w:val="0"/>
        <w:spacing w:line="600" w:lineRule="exact"/>
        <w:jc w:val="center"/>
        <w:textAlignment w:val="auto"/>
        <w:rPr>
          <w:rFonts w:hint="default" w:ascii="Times New Roman" w:hAnsi="Times New Roman" w:cs="Times New Roman"/>
          <w:kern w:val="0"/>
          <w:szCs w:val="32"/>
        </w:rPr>
      </w:pPr>
      <w:r>
        <w:rPr>
          <w:rFonts w:hint="eastAsia" w:cs="Times New Roman"/>
          <w:spacing w:val="17"/>
          <w:kern w:val="0"/>
          <w:szCs w:val="32"/>
          <w:lang w:val="en-US" w:eastAsia="zh-CN"/>
        </w:rPr>
        <w:t xml:space="preserve">                </w:t>
      </w:r>
      <w:r>
        <w:rPr>
          <w:rFonts w:hint="default" w:ascii="Times New Roman" w:hAnsi="Times New Roman" w:cs="Times New Roman"/>
          <w:spacing w:val="17"/>
          <w:kern w:val="0"/>
          <w:szCs w:val="32"/>
        </w:rPr>
        <w:t>重庆银行股份有限公司</w:t>
      </w:r>
    </w:p>
    <w:p>
      <w:pPr>
        <w:keepNext w:val="0"/>
        <w:keepLines w:val="0"/>
        <w:pageBreakBefore w:val="0"/>
        <w:widowControl/>
        <w:kinsoku/>
        <w:wordWrap/>
        <w:overflowPunct/>
        <w:autoSpaceDE/>
        <w:autoSpaceDN/>
        <w:bidi w:val="0"/>
        <w:adjustRightInd w:val="0"/>
        <w:snapToGrid w:val="0"/>
        <w:spacing w:line="600" w:lineRule="exact"/>
        <w:ind w:right="480"/>
        <w:jc w:val="center"/>
        <w:textAlignment w:val="auto"/>
        <w:rPr>
          <w:rFonts w:hint="default" w:ascii="Times New Roman" w:hAnsi="Times New Roman" w:cs="Times New Roman"/>
          <w:kern w:val="0"/>
          <w:szCs w:val="32"/>
        </w:rPr>
      </w:pPr>
      <w:r>
        <w:rPr>
          <w:rFonts w:hint="eastAsia" w:cs="Times New Roman"/>
          <w:kern w:val="0"/>
          <w:szCs w:val="32"/>
          <w:lang w:val="en-US" w:eastAsia="zh-CN"/>
        </w:rPr>
        <w:t xml:space="preserve">                       </w:t>
      </w:r>
      <w:r>
        <w:rPr>
          <w:rFonts w:hint="default" w:ascii="Times New Roman" w:hAnsi="Times New Roman" w:cs="Times New Roman"/>
          <w:kern w:val="0"/>
          <w:szCs w:val="32"/>
        </w:rPr>
        <w:t>2019年8月20日</w:t>
      </w:r>
    </w:p>
    <w:p>
      <w:pPr>
        <w:widowControl/>
        <w:jc w:val="left"/>
        <w:rPr>
          <w:rFonts w:hint="default" w:ascii="Times New Roman" w:hAnsi="Times New Roman" w:eastAsia="黑体" w:cs="Times New Roman"/>
          <w:kern w:val="0"/>
          <w:szCs w:val="32"/>
        </w:rPr>
      </w:pPr>
      <w:r>
        <w:rPr>
          <w:rFonts w:hint="default" w:ascii="Times New Roman" w:hAnsi="Times New Roman" w:eastAsia="黑体" w:cs="Times New Roman"/>
          <w:kern w:val="0"/>
          <w:szCs w:val="32"/>
        </w:rPr>
        <w:br w:type="page"/>
      </w:r>
      <w:r>
        <w:rPr>
          <w:rFonts w:hint="default" w:ascii="Times New Roman" w:hAnsi="Times New Roman" w:eastAsia="黑体" w:cs="Times New Roman"/>
          <w:kern w:val="0"/>
          <w:szCs w:val="32"/>
        </w:rPr>
        <w:t>附件1</w:t>
      </w:r>
    </w:p>
    <w:p>
      <w:pPr>
        <w:widowControl/>
        <w:jc w:val="left"/>
        <w:rPr>
          <w:rFonts w:hint="default" w:ascii="Times New Roman" w:hAnsi="Times New Roman" w:eastAsia="黑体" w:cs="Times New Roman"/>
          <w:kern w:val="0"/>
          <w:szCs w:val="32"/>
        </w:rPr>
      </w:pPr>
    </w:p>
    <w:p>
      <w:pPr>
        <w:topLinePunct/>
        <w:adjustRightInd w:val="0"/>
        <w:spacing w:line="590" w:lineRule="exact"/>
        <w:jc w:val="center"/>
        <w:rPr>
          <w:rFonts w:hint="default" w:ascii="Times New Roman" w:hAnsi="Times New Roman" w:eastAsia="方正小标宋_GBK" w:cs="Times New Roman"/>
          <w:kern w:val="0"/>
          <w:sz w:val="44"/>
          <w:szCs w:val="44"/>
        </w:rPr>
      </w:pPr>
      <w:r>
        <w:rPr>
          <w:rFonts w:hint="default" w:ascii="Times New Roman" w:hAnsi="Times New Roman" w:eastAsia="方正小标宋_GBK" w:cs="Times New Roman"/>
          <w:kern w:val="0"/>
          <w:sz w:val="44"/>
          <w:szCs w:val="44"/>
        </w:rPr>
        <w:t>关于为高层次人才提供“人才贷”及</w:t>
      </w:r>
    </w:p>
    <w:p>
      <w:pPr>
        <w:topLinePunct/>
        <w:adjustRightInd w:val="0"/>
        <w:spacing w:line="590" w:lineRule="exact"/>
        <w:jc w:val="center"/>
        <w:rPr>
          <w:rFonts w:hint="default" w:ascii="Times New Roman" w:hAnsi="Times New Roman" w:eastAsia="方正小标宋_GBK" w:cs="Times New Roman"/>
          <w:kern w:val="0"/>
          <w:sz w:val="44"/>
          <w:szCs w:val="44"/>
        </w:rPr>
      </w:pPr>
      <w:r>
        <w:rPr>
          <w:rFonts w:hint="default" w:ascii="Times New Roman" w:hAnsi="Times New Roman" w:eastAsia="方正小标宋_GBK" w:cs="Times New Roman"/>
          <w:kern w:val="0"/>
          <w:sz w:val="44"/>
          <w:szCs w:val="44"/>
        </w:rPr>
        <w:t>相关金融服务的实施方案</w:t>
      </w:r>
    </w:p>
    <w:p>
      <w:pPr>
        <w:topLinePunct/>
        <w:adjustRightInd w:val="0"/>
        <w:spacing w:before="100" w:beforeAutospacing="1" w:after="100" w:afterAutospacing="1" w:line="590" w:lineRule="exact"/>
        <w:jc w:val="center"/>
        <w:rPr>
          <w:rFonts w:hint="default" w:ascii="Times New Roman" w:hAnsi="Times New Roman" w:eastAsia="方正小标宋_GBK" w:cs="Times New Roman"/>
          <w:kern w:val="0"/>
          <w:sz w:val="44"/>
          <w:szCs w:val="44"/>
        </w:rPr>
      </w:pPr>
      <w:r>
        <w:rPr>
          <w:rFonts w:hint="default" w:ascii="Times New Roman" w:hAnsi="Times New Roman" w:cs="Times New Roman"/>
          <w:szCs w:val="32"/>
        </w:rPr>
        <w:t>渝金发〔2019〕1号</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为深入实施《重庆市科教兴市和人才强市行动计划（2018—2020年）》（渝委发〔2018〕27号），面向全市高层次人才提供“人才贷”及相关金融服务，加大高层次人才引进与服务力度，强化创新创业金融支持，制定本方案。</w:t>
      </w:r>
    </w:p>
    <w:p>
      <w:pPr>
        <w:topLinePunct/>
        <w:adjustRightInd w:val="0"/>
        <w:spacing w:line="590" w:lineRule="exact"/>
        <w:ind w:firstLine="640" w:firstLineChars="200"/>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一、总体思路</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坚持以习近平新时代中国特色社会主义思想为指导，深入贯彻党的十九大精神，全面贯彻习近平总书记视察重庆重要讲话和参加重庆代表团审议时重要讲话精神，紧紧围绕“两点”定位、“两地”“两高”目标、发挥“三个作用”和营造良好政治生态的重要指示要求，深入实施重庆市科教兴市和人才强市行动计划，坚持市场化原则，引导银行业金融机构设立“英才卡”，以“英才卡”为载体开展“人才贷”，为高层次人才综合授信，提供免抵押、免担保、基准利率的信贷产品，提供按揭购房、消费、创业投资等一揽子金融服务，提高资金可获得性和贷款审批效率，服务重庆高层次人才。</w:t>
      </w:r>
    </w:p>
    <w:p>
      <w:pPr>
        <w:topLinePunct/>
        <w:adjustRightInd w:val="0"/>
        <w:spacing w:line="590" w:lineRule="exact"/>
        <w:ind w:firstLine="640" w:firstLineChars="200"/>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二、承办银行</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前期由重庆银行承办“人才贷”及相关金融服务；后期根据项目情况，适时调整补充合作机构。</w:t>
      </w:r>
    </w:p>
    <w:p>
      <w:pPr>
        <w:topLinePunct/>
        <w:adjustRightInd w:val="0"/>
        <w:spacing w:line="590" w:lineRule="exact"/>
        <w:ind w:firstLine="640" w:firstLineChars="200"/>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三、服务对象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符合《重庆市人才服务证实施细则》（渝人社发〔2017〕282号）文件规定、持有重庆市人才服务证的高层次人才。</w:t>
      </w:r>
    </w:p>
    <w:p>
      <w:pPr>
        <w:topLinePunct/>
        <w:adjustRightInd w:val="0"/>
        <w:spacing w:line="590" w:lineRule="exact"/>
        <w:ind w:firstLine="640" w:firstLineChars="200"/>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四、服务内容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针对符合条件的高层次人才，设立“英才卡”，以“英才卡”为载体为各类人才量身打造、设计开发有针对性的“人才贷”等金融产品和服务，并在实际服务中不断创新、不断完善。</w:t>
      </w:r>
    </w:p>
    <w:p>
      <w:pPr>
        <w:topLinePunct/>
        <w:adjustRightInd w:val="0"/>
        <w:spacing w:line="590" w:lineRule="exact"/>
        <w:ind w:firstLine="640" w:firstLineChars="200"/>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（一）发放“英才卡”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“英才卡”是针对重庆市高层次人才设计开发的专属联名借记卡，拥有专属卡面设计，持重庆市人才服务证的高层次人才自愿申办，持卡客户同时被纳入银行VIP客户管理体系，享受专属增值服务。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drawing>
          <wp:anchor distT="0" distB="0" distL="114300" distR="114300" simplePos="0" relativeHeight="251659264" behindDoc="0" locked="0" layoutInCell="1" allowOverlap="1">
            <wp:simplePos x="0" y="0"/>
            <wp:positionH relativeFrom="column">
              <wp:posOffset>2245995</wp:posOffset>
            </wp:positionH>
            <wp:positionV relativeFrom="paragraph">
              <wp:posOffset>242570</wp:posOffset>
            </wp:positionV>
            <wp:extent cx="1475740" cy="2343150"/>
            <wp:effectExtent l="0" t="0" r="0" b="0"/>
            <wp:wrapNone/>
            <wp:docPr id="1" name="图片 1" descr="说明: C:\Users\ADMINI~1\AppData\Local\Temp\WeChat Files\8a0324bc6453a95d41483a40bdc08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说明: C:\Users\ADMINI~1\AppData\Local\Temp\WeChat Files\8a0324bc6453a95d41483a40bdc08fb.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1475740" cy="2343150"/>
                    </a:xfrm>
                    <a:prstGeom prst="rect">
                      <a:avLst/>
                    </a:prstGeom>
                    <a:noFill/>
                    <a:ln>
                      <a:noFill/>
                    </a:ln>
                  </pic:spPr>
                </pic:pic>
              </a:graphicData>
            </a:graphic>
          </wp:anchor>
        </w:drawing>
      </w:r>
    </w:p>
    <w:p>
      <w:pPr>
        <w:topLinePunct/>
        <w:adjustRightInd w:val="0"/>
        <w:spacing w:line="590" w:lineRule="exact"/>
        <w:ind w:firstLine="640" w:firstLineChars="200"/>
        <w:rPr>
          <w:rFonts w:hint="default" w:ascii="Times New Roman" w:hAnsi="Times New Roman" w:cs="Times New Roman"/>
          <w:kern w:val="0"/>
          <w:szCs w:val="32"/>
        </w:rPr>
      </w:pPr>
    </w:p>
    <w:p>
      <w:pPr>
        <w:topLinePunct/>
        <w:adjustRightInd w:val="0"/>
        <w:spacing w:line="590" w:lineRule="exact"/>
        <w:ind w:firstLine="640" w:firstLineChars="200"/>
        <w:rPr>
          <w:rFonts w:hint="default" w:ascii="Times New Roman" w:hAnsi="Times New Roman" w:cs="Times New Roman"/>
          <w:kern w:val="0"/>
          <w:szCs w:val="32"/>
        </w:rPr>
      </w:pPr>
    </w:p>
    <w:p>
      <w:pPr>
        <w:topLinePunct/>
        <w:adjustRightInd w:val="0"/>
        <w:spacing w:line="590" w:lineRule="exact"/>
        <w:ind w:firstLine="640" w:firstLineChars="200"/>
        <w:rPr>
          <w:rFonts w:hint="default" w:ascii="Times New Roman" w:hAnsi="Times New Roman" w:cs="Times New Roman"/>
          <w:kern w:val="0"/>
          <w:szCs w:val="32"/>
        </w:rPr>
      </w:pPr>
    </w:p>
    <w:p>
      <w:pPr>
        <w:topLinePunct/>
        <w:adjustRightInd w:val="0"/>
        <w:spacing w:line="590" w:lineRule="exact"/>
        <w:ind w:firstLine="640" w:firstLineChars="200"/>
        <w:rPr>
          <w:rFonts w:hint="default" w:ascii="Times New Roman" w:hAnsi="Times New Roman" w:cs="Times New Roman"/>
          <w:kern w:val="0"/>
          <w:szCs w:val="32"/>
        </w:rPr>
      </w:pPr>
    </w:p>
    <w:p>
      <w:pPr>
        <w:topLinePunct/>
        <w:adjustRightInd w:val="0"/>
        <w:spacing w:line="590" w:lineRule="exact"/>
        <w:ind w:firstLine="640" w:firstLineChars="200"/>
        <w:rPr>
          <w:rFonts w:hint="default" w:ascii="Times New Roman" w:hAnsi="Times New Roman" w:cs="Times New Roman"/>
          <w:kern w:val="0"/>
          <w:szCs w:val="32"/>
        </w:rPr>
      </w:pPr>
    </w:p>
    <w:p>
      <w:pPr>
        <w:topLinePunct/>
        <w:adjustRightInd w:val="0"/>
        <w:spacing w:line="590" w:lineRule="exact"/>
        <w:ind w:firstLine="640" w:firstLineChars="200"/>
        <w:rPr>
          <w:rFonts w:hint="default" w:ascii="Times New Roman" w:hAnsi="Times New Roman" w:cs="Times New Roman"/>
          <w:kern w:val="0"/>
          <w:szCs w:val="32"/>
        </w:rPr>
      </w:pPr>
    </w:p>
    <w:p>
      <w:pPr>
        <w:topLinePunct/>
        <w:adjustRightInd w:val="0"/>
        <w:spacing w:line="590" w:lineRule="exact"/>
        <w:ind w:firstLine="640" w:firstLineChars="200"/>
        <w:jc w:val="center"/>
        <w:rPr>
          <w:rFonts w:hint="default" w:ascii="Times New Roman" w:hAnsi="Times New Roman" w:cs="Times New Roman"/>
          <w:kern w:val="0"/>
          <w:szCs w:val="32"/>
        </w:rPr>
      </w:pPr>
      <w:r>
        <w:rPr>
          <w:rFonts w:hint="default" w:ascii="Times New Roman" w:hAnsi="Times New Roman" w:cs="Times New Roman"/>
          <w:kern w:val="0"/>
          <w:szCs w:val="32"/>
        </w:rPr>
        <w:t>卡面</w:t>
      </w:r>
    </w:p>
    <w:p>
      <w:pPr>
        <w:topLinePunct/>
        <w:adjustRightInd w:val="0"/>
        <w:spacing w:line="590" w:lineRule="exact"/>
        <w:ind w:firstLine="640" w:firstLineChars="200"/>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（二）“人才贷”服务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1．人才信用贷。“英才卡”持卡人可享受免抵押、免担保贷款（发卡行关系人及关联方除外），用于满足消费需求，贷款额度循环使用，随借随还。贷款最低可执行基准利率，最长期限1年，最高额度100万元。</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2．知识价值信用贷。对成立科技型企业并纳入科技型企业成长库、取得市科委知识价值信用额度的“英才卡”持卡人，可申请无须提供抵押物的知识价值信用贷款。贷款执行同期同档次基准利率，最高额度500万元。</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3．人才创业贷。对在渝创办企业的高层次人才，凭“英才卡”可在线申请用于生产经营周转的信用贷款。贷款基于税务数据场景，免抵押、无担保，手机APP自助办理，先息后本，最高额度100万。</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4．房产抵押贷。对在渝创办企业的高层次人才，凭“英才卡”可申请以房产抵押为担保方式的个人经营性贷款。抵押房产类型不限，审查审批最快1日完成、3日放款。贷款金融最高可达抵押物评估净值的110%，期限最长10年，最高额度500万元。</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5．流动资金贷。对在渝创办企业的高层次人才，凭“英才卡”可申请流动资金贷款。贷款期限最长三年，无需每年还本转贷，三年到期一次性归还本金，最高额度2000万元。</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6．工业用房按揭贷。对在渝创办企业的高层次人才，凭“英才卡”可申请用于企业购买自用工业用房的贷款。贷款采取按揭还款方式，按月等额本金或等额本息还款，期限最长5年，最高额度2000万元。</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上述贷款服务以贷款行相关产品细则为准。</w:t>
      </w:r>
    </w:p>
    <w:p>
      <w:pPr>
        <w:topLinePunct/>
        <w:adjustRightInd w:val="0"/>
        <w:spacing w:line="590" w:lineRule="exact"/>
        <w:ind w:firstLine="640" w:firstLineChars="200"/>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（三）人才增值服务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1．金融类增值服务。“英才卡”持卡人可享受“九项费用免收”：</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一是办卡工本费、年费、小额账户管理费；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二是办理存折、存单、卡挂失、开立存款证明、补办存折\存单\卡手续费；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三是IC卡换卡服务工本费；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四是银信通服务费；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五是跨行ATM取款业务手续费；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六是有柜面互通业务合作的银行及其全国合作行柜台存、取业务手续费；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七是网上银行业务USB KEY工本费及年费；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八是大小额支付系统汇兑手续费及邮电费，跨行转账手续费；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九是“人行通”交易手续费。</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2．非金融类增值服务。“英才卡”持卡人可享受市场价值近1万元/年·人的四项增值服务：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一是出行服务，包括每年10次江北机场要客服务，随行1人，享受专用安检通道、贵宾摆渡车等；不限次成渝火车站/高铁站贵宾厅服务，随行不超5人；积分兑换龙腾商旅出行贵宾厅服务，使用龙腾全国异地45家高铁贵宾厅，111个机场的415个休息室，境外390个机场的702个休息室；</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二是加油服务，在指定加油站，按照加油金额享受每满100元减12元的加油折扣优惠；</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三是体检服务，可到爱康国宾体检中心任一门店、重庆体检中心享受价值约1000元的专属健康体检服务；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四是救援服务，“英才卡”持卡人可免费向发卡行申请专属信用卡产品，即刻享有道路救援、家庭救援等服务。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此外，符合条件的高层次人才申办“英才卡”享受上门办理服务；“英才卡”包含的增值服务根据发卡行规划每年更新，以发卡行最新公布为准。</w:t>
      </w:r>
    </w:p>
    <w:p>
      <w:pPr>
        <w:topLinePunct/>
        <w:adjustRightInd w:val="0"/>
        <w:spacing w:line="590" w:lineRule="exact"/>
        <w:ind w:firstLine="640" w:firstLineChars="200"/>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五、组织实施</w:t>
      </w:r>
    </w:p>
    <w:p>
      <w:pPr>
        <w:topLinePunct/>
        <w:adjustRightInd w:val="0"/>
        <w:spacing w:line="590" w:lineRule="exact"/>
        <w:ind w:firstLine="640" w:firstLineChars="200"/>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（一）部门职责</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人才贷”相关工作在市委人才工作领导小组的统一领导下，由市委组织部、市金融监管局、市人力社保局牵头，重庆银行参与实施。市人力社保局提供人才名单；市金融监管局协调重庆银行，提供相关政策支持；重庆银行依照市场化原则，明确“人才贷”的贷款及优惠服务，实行“英才卡”的发卡、办卡及相关金融和增值服务。</w:t>
      </w:r>
    </w:p>
    <w:p>
      <w:pPr>
        <w:topLinePunct/>
        <w:adjustRightInd w:val="0"/>
        <w:spacing w:line="590" w:lineRule="exact"/>
        <w:ind w:firstLine="640" w:firstLineChars="200"/>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（二）服务保障</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各相关单位加强统筹，细化服务流程，强化服务保障，定期跟进“人才贷”及相关金融服务落实情况，及时协调解决存在问题，随“人才贷”“英才卡”的逐步实施，不断改进、完善、增加相关服务内容，逐步扩大服务对象范围，促进人才服务工作落细落地。</w:t>
      </w:r>
    </w:p>
    <w:p>
      <w:pPr>
        <w:topLinePunct/>
        <w:adjustRightInd w:val="0"/>
        <w:spacing w:line="590" w:lineRule="exact"/>
        <w:ind w:firstLine="640" w:firstLineChars="200"/>
        <w:rPr>
          <w:rFonts w:hint="default" w:ascii="Times New Roman" w:hAnsi="Times New Roman" w:eastAsia="方正楷体_GBK" w:cs="Times New Roman"/>
          <w:kern w:val="0"/>
          <w:szCs w:val="32"/>
        </w:rPr>
      </w:pPr>
      <w:r>
        <w:rPr>
          <w:rFonts w:hint="default" w:ascii="Times New Roman" w:hAnsi="Times New Roman" w:eastAsia="方正楷体_GBK" w:cs="Times New Roman"/>
          <w:kern w:val="0"/>
          <w:szCs w:val="32"/>
        </w:rPr>
        <w:t>（三）加强监管</w:t>
      </w:r>
    </w:p>
    <w:p>
      <w:pPr>
        <w:topLinePunct/>
        <w:adjustRightInd w:val="0"/>
        <w:spacing w:line="590" w:lineRule="exact"/>
        <w:ind w:firstLine="640" w:firstLineChars="200"/>
        <w:rPr>
          <w:rFonts w:hint="default" w:ascii="Times New Roman" w:hAnsi="Times New Roman" w:cs="Times New Roman"/>
          <w:kern w:val="0"/>
          <w:szCs w:val="32"/>
        </w:rPr>
      </w:pPr>
      <w:r>
        <w:rPr>
          <w:rFonts w:hint="default" w:ascii="Times New Roman" w:hAnsi="Times New Roman" w:cs="Times New Roman"/>
          <w:kern w:val="0"/>
          <w:szCs w:val="32"/>
        </w:rPr>
        <w:t>加强资格管理。相关部门严格“人才贷”服务对象的资格认定，及时变更相关人员信息。对弄虚作假及其他违法违规行为的，取消申报或认定资格，同时纳入诚信黑名单，按规定追缴已提供的“人才贷”及相关服务费用。</w:t>
      </w:r>
    </w:p>
    <w:p>
      <w:pPr>
        <w:topLinePunct/>
        <w:adjustRightInd w:val="0"/>
        <w:spacing w:line="590" w:lineRule="exact"/>
        <w:ind w:firstLine="640" w:firstLineChars="200"/>
        <w:rPr>
          <w:rStyle w:val="10"/>
          <w:rFonts w:hint="default" w:ascii="Times New Roman" w:hAnsi="Times New Roman" w:cs="Times New Roman"/>
          <w:color w:val="auto"/>
          <w:kern w:val="0"/>
        </w:rPr>
      </w:pPr>
      <w:r>
        <w:rPr>
          <w:rFonts w:hint="default" w:ascii="Times New Roman" w:hAnsi="Times New Roman" w:cs="Times New Roman"/>
          <w:kern w:val="0"/>
          <w:szCs w:val="32"/>
        </w:rPr>
        <w:t>加强贷款监管。坚持市场化原则，建立规范、高效的贷款评审体系，完善“人才贷”“英才卡”的前期审核、期间监督、到期追偿与处置机制；建立严格有效的监督管理和个人信用档案管理制度，赋予承办银行追究违约责任、取消违约人相关服务的权利。</w:t>
      </w:r>
    </w:p>
    <w:p>
      <w:pPr>
        <w:widowControl/>
        <w:jc w:val="left"/>
        <w:rPr>
          <w:rFonts w:hint="default" w:ascii="Times New Roman" w:hAnsi="Times New Roman" w:eastAsia="黑体" w:cs="Times New Roman"/>
          <w:kern w:val="0"/>
          <w:szCs w:val="32"/>
        </w:rPr>
      </w:pPr>
    </w:p>
    <w:p>
      <w:pPr>
        <w:widowControl/>
        <w:jc w:val="left"/>
        <w:rPr>
          <w:rFonts w:hint="default" w:ascii="Times New Roman" w:hAnsi="Times New Roman" w:eastAsia="黑体" w:cs="Times New Roman"/>
          <w:kern w:val="0"/>
          <w:szCs w:val="32"/>
        </w:rPr>
      </w:pPr>
    </w:p>
    <w:p>
      <w:pPr>
        <w:widowControl/>
        <w:jc w:val="left"/>
        <w:rPr>
          <w:rFonts w:hint="default" w:ascii="Times New Roman" w:hAnsi="Times New Roman" w:eastAsia="黑体" w:cs="Times New Roman"/>
          <w:kern w:val="0"/>
          <w:szCs w:val="32"/>
        </w:rPr>
        <w:sectPr>
          <w:headerReference r:id="rId3" w:type="default"/>
          <w:pgSz w:w="11906" w:h="16838"/>
          <w:pgMar w:top="1440" w:right="1800" w:bottom="1440" w:left="1800" w:header="851" w:footer="992" w:gutter="0"/>
          <w:cols w:space="425" w:num="1"/>
          <w:docGrid w:type="lines" w:linePitch="435" w:charSpace="0"/>
        </w:sectPr>
      </w:pPr>
    </w:p>
    <w:p>
      <w:pPr>
        <w:widowControl/>
        <w:jc w:val="left"/>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附件2</w:t>
      </w:r>
    </w:p>
    <w:p>
      <w:pPr>
        <w:spacing w:before="100" w:beforeAutospacing="1" w:after="100" w:afterAutospacing="1" w:line="200" w:lineRule="exact"/>
        <w:jc w:val="center"/>
        <w:rPr>
          <w:rFonts w:hint="default" w:ascii="Times New Roman" w:hAnsi="Times New Roman" w:eastAsia="方正小标宋_GBK" w:cs="Times New Roman"/>
          <w:sz w:val="44"/>
          <w:szCs w:val="44"/>
        </w:rPr>
      </w:pPr>
      <w:r>
        <w:rPr>
          <w:rFonts w:hint="default" w:ascii="Times New Roman" w:hAnsi="Times New Roman" w:eastAsia="方正小标宋_GBK" w:cs="Times New Roman"/>
          <w:sz w:val="44"/>
          <w:szCs w:val="44"/>
        </w:rPr>
        <w:t>重庆市高层次人才申办“英才卡”信息表</w:t>
      </w:r>
    </w:p>
    <w:p>
      <w:pPr>
        <w:spacing w:line="400" w:lineRule="exact"/>
        <w:rPr>
          <w:rFonts w:hint="default" w:ascii="Times New Roman" w:hAnsi="Times New Roman" w:cs="Times New Roman"/>
          <w:b/>
          <w:bCs/>
          <w:sz w:val="24"/>
          <w:szCs w:val="21"/>
        </w:rPr>
      </w:pPr>
      <w:r>
        <w:rPr>
          <w:rFonts w:hint="default" w:ascii="Times New Roman" w:hAnsi="Times New Roman" w:cs="Times New Roman"/>
          <w:b/>
          <w:bCs/>
          <w:sz w:val="24"/>
          <w:szCs w:val="21"/>
        </w:rPr>
        <w:t>单位名称：</w:t>
      </w:r>
    </w:p>
    <w:tbl>
      <w:tblPr>
        <w:tblStyle w:val="8"/>
        <w:tblW w:w="14414"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2"/>
        <w:gridCol w:w="1113"/>
        <w:gridCol w:w="1134"/>
        <w:gridCol w:w="1276"/>
        <w:gridCol w:w="1417"/>
        <w:gridCol w:w="2126"/>
        <w:gridCol w:w="1560"/>
        <w:gridCol w:w="1984"/>
        <w:gridCol w:w="1843"/>
        <w:gridCol w:w="15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5" w:hRule="atLeast"/>
        </w:trPr>
        <w:tc>
          <w:tcPr>
            <w:tcW w:w="402" w:type="dxa"/>
            <w:vAlign w:val="center"/>
          </w:tcPr>
          <w:p>
            <w:pPr>
              <w:spacing w:line="500" w:lineRule="exact"/>
              <w:rPr>
                <w:rFonts w:hint="default" w:ascii="Times New Roman" w:hAnsi="Times New Roman" w:cs="Times New Roman"/>
                <w:b/>
                <w:bCs/>
                <w:sz w:val="21"/>
                <w:szCs w:val="21"/>
              </w:rPr>
            </w:pPr>
            <w:r>
              <w:rPr>
                <w:rFonts w:hint="default" w:ascii="Times New Roman" w:hAnsi="Times New Roman" w:cs="Times New Roman"/>
                <w:b/>
                <w:bCs/>
                <w:sz w:val="21"/>
                <w:szCs w:val="21"/>
              </w:rPr>
              <w:t>序号</w:t>
            </w:r>
          </w:p>
        </w:tc>
        <w:tc>
          <w:tcPr>
            <w:tcW w:w="1113" w:type="dxa"/>
            <w:vAlign w:val="center"/>
          </w:tcPr>
          <w:p>
            <w:pPr>
              <w:adjustRightInd w:val="0"/>
              <w:snapToGrid w:val="0"/>
              <w:rPr>
                <w:rFonts w:hint="default" w:ascii="Times New Roman" w:hAnsi="Times New Roman" w:cs="Times New Roman"/>
                <w:b/>
                <w:bCs/>
                <w:sz w:val="21"/>
                <w:szCs w:val="21"/>
              </w:rPr>
            </w:pPr>
            <w:r>
              <w:rPr>
                <w:rFonts w:hint="default" w:ascii="Times New Roman" w:hAnsi="Times New Roman" w:cs="Times New Roman"/>
                <w:b/>
                <w:bCs/>
                <w:sz w:val="21"/>
                <w:szCs w:val="21"/>
              </w:rPr>
              <w:t>人才姓名</w:t>
            </w:r>
          </w:p>
        </w:tc>
        <w:tc>
          <w:tcPr>
            <w:tcW w:w="1134"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出生日期</w:t>
            </w:r>
          </w:p>
        </w:tc>
        <w:tc>
          <w:tcPr>
            <w:tcW w:w="1276"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是否办理“英才卡”</w:t>
            </w:r>
          </w:p>
        </w:tc>
        <w:tc>
          <w:tcPr>
            <w:tcW w:w="1417"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开卡区域</w:t>
            </w:r>
          </w:p>
        </w:tc>
        <w:tc>
          <w:tcPr>
            <w:tcW w:w="2126"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开卡网点</w:t>
            </w:r>
          </w:p>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（人才贷）</w:t>
            </w:r>
          </w:p>
        </w:tc>
        <w:tc>
          <w:tcPr>
            <w:tcW w:w="1560"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是否上门服务</w:t>
            </w:r>
          </w:p>
        </w:tc>
        <w:tc>
          <w:tcPr>
            <w:tcW w:w="1984"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是否办理消费类“人才贷服务”</w:t>
            </w:r>
          </w:p>
        </w:tc>
        <w:tc>
          <w:tcPr>
            <w:tcW w:w="1843"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是否办理经营类“人才贷服务”</w:t>
            </w:r>
          </w:p>
        </w:tc>
        <w:tc>
          <w:tcPr>
            <w:tcW w:w="1559"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是否办理白金信用卡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5" w:hRule="atLeast"/>
        </w:trPr>
        <w:tc>
          <w:tcPr>
            <w:tcW w:w="402" w:type="dxa"/>
          </w:tcPr>
          <w:p>
            <w:pPr>
              <w:spacing w:line="500" w:lineRule="exact"/>
              <w:jc w:val="left"/>
              <w:rPr>
                <w:rFonts w:hint="default" w:ascii="Times New Roman" w:hAnsi="Times New Roman" w:cs="Times New Roman"/>
                <w:sz w:val="24"/>
                <w:szCs w:val="24"/>
              </w:rPr>
            </w:pPr>
          </w:p>
        </w:tc>
        <w:tc>
          <w:tcPr>
            <w:tcW w:w="1113" w:type="dxa"/>
          </w:tcPr>
          <w:p>
            <w:pPr>
              <w:spacing w:line="500" w:lineRule="exact"/>
              <w:jc w:val="left"/>
              <w:rPr>
                <w:rFonts w:hint="default" w:ascii="Times New Roman" w:hAnsi="Times New Roman" w:cs="Times New Roman"/>
                <w:sz w:val="24"/>
                <w:szCs w:val="24"/>
              </w:rPr>
            </w:pPr>
          </w:p>
        </w:tc>
        <w:tc>
          <w:tcPr>
            <w:tcW w:w="1134"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1417" w:type="dxa"/>
            <w:vAlign w:val="center"/>
          </w:tcPr>
          <w:p>
            <w:pPr>
              <w:spacing w:line="500" w:lineRule="exact"/>
              <w:jc w:val="left"/>
              <w:rPr>
                <w:rFonts w:hint="default" w:ascii="Times New Roman" w:hAnsi="Times New Roman" w:cs="Times New Roman"/>
                <w:sz w:val="24"/>
                <w:szCs w:val="24"/>
              </w:rPr>
            </w:pPr>
          </w:p>
        </w:tc>
        <w:tc>
          <w:tcPr>
            <w:tcW w:w="2126" w:type="dxa"/>
          </w:tcPr>
          <w:p>
            <w:pPr>
              <w:spacing w:line="500" w:lineRule="exact"/>
              <w:jc w:val="left"/>
              <w:rPr>
                <w:rFonts w:hint="default" w:ascii="Times New Roman" w:hAnsi="Times New Roman" w:cs="Times New Roman"/>
                <w:sz w:val="24"/>
                <w:szCs w:val="24"/>
              </w:rPr>
            </w:pPr>
          </w:p>
        </w:tc>
        <w:tc>
          <w:tcPr>
            <w:tcW w:w="1560" w:type="dxa"/>
          </w:tcPr>
          <w:p>
            <w:pPr>
              <w:spacing w:line="500" w:lineRule="exact"/>
              <w:jc w:val="left"/>
              <w:rPr>
                <w:rFonts w:hint="default" w:ascii="Times New Roman" w:hAnsi="Times New Roman" w:cs="Times New Roman"/>
                <w:sz w:val="24"/>
                <w:szCs w:val="24"/>
              </w:rPr>
            </w:pPr>
          </w:p>
        </w:tc>
        <w:tc>
          <w:tcPr>
            <w:tcW w:w="1984" w:type="dxa"/>
          </w:tcPr>
          <w:p>
            <w:pPr>
              <w:spacing w:line="500" w:lineRule="exact"/>
              <w:jc w:val="left"/>
              <w:rPr>
                <w:rFonts w:hint="default" w:ascii="Times New Roman" w:hAnsi="Times New Roman" w:cs="Times New Roman"/>
                <w:sz w:val="24"/>
                <w:szCs w:val="24"/>
              </w:rPr>
            </w:pPr>
          </w:p>
        </w:tc>
        <w:tc>
          <w:tcPr>
            <w:tcW w:w="1843" w:type="dxa"/>
          </w:tcPr>
          <w:p>
            <w:pPr>
              <w:spacing w:line="500" w:lineRule="exact"/>
              <w:jc w:val="left"/>
              <w:rPr>
                <w:rFonts w:hint="default" w:ascii="Times New Roman" w:hAnsi="Times New Roman" w:cs="Times New Roman"/>
                <w:sz w:val="24"/>
                <w:szCs w:val="24"/>
              </w:rPr>
            </w:pPr>
          </w:p>
        </w:tc>
        <w:tc>
          <w:tcPr>
            <w:tcW w:w="1559" w:type="dxa"/>
          </w:tcPr>
          <w:p>
            <w:pPr>
              <w:spacing w:line="500" w:lineRule="exact"/>
              <w:jc w:val="left"/>
              <w:rPr>
                <w:rFonts w:hint="default" w:ascii="Times New Roman" w:hAnsi="Times New Roman"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8" w:hRule="atLeast"/>
        </w:trPr>
        <w:tc>
          <w:tcPr>
            <w:tcW w:w="402" w:type="dxa"/>
          </w:tcPr>
          <w:p>
            <w:pPr>
              <w:spacing w:line="500" w:lineRule="exact"/>
              <w:jc w:val="left"/>
              <w:rPr>
                <w:rFonts w:hint="default" w:ascii="Times New Roman" w:hAnsi="Times New Roman" w:cs="Times New Roman"/>
                <w:sz w:val="24"/>
                <w:szCs w:val="24"/>
              </w:rPr>
            </w:pPr>
          </w:p>
        </w:tc>
        <w:tc>
          <w:tcPr>
            <w:tcW w:w="1113" w:type="dxa"/>
          </w:tcPr>
          <w:p>
            <w:pPr>
              <w:spacing w:line="500" w:lineRule="exact"/>
              <w:jc w:val="left"/>
              <w:rPr>
                <w:rFonts w:hint="default" w:ascii="Times New Roman" w:hAnsi="Times New Roman" w:cs="Times New Roman"/>
                <w:sz w:val="24"/>
                <w:szCs w:val="24"/>
              </w:rPr>
            </w:pPr>
          </w:p>
        </w:tc>
        <w:tc>
          <w:tcPr>
            <w:tcW w:w="1134"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1417" w:type="dxa"/>
          </w:tcPr>
          <w:p>
            <w:pPr>
              <w:spacing w:line="500" w:lineRule="exact"/>
              <w:jc w:val="left"/>
              <w:rPr>
                <w:rFonts w:hint="default" w:ascii="Times New Roman" w:hAnsi="Times New Roman" w:cs="Times New Roman"/>
                <w:sz w:val="24"/>
                <w:szCs w:val="24"/>
              </w:rPr>
            </w:pPr>
          </w:p>
        </w:tc>
        <w:tc>
          <w:tcPr>
            <w:tcW w:w="2126" w:type="dxa"/>
          </w:tcPr>
          <w:p>
            <w:pPr>
              <w:spacing w:line="500" w:lineRule="exact"/>
              <w:jc w:val="left"/>
              <w:rPr>
                <w:rFonts w:hint="default" w:ascii="Times New Roman" w:hAnsi="Times New Roman" w:cs="Times New Roman"/>
                <w:sz w:val="24"/>
                <w:szCs w:val="24"/>
              </w:rPr>
            </w:pPr>
          </w:p>
        </w:tc>
        <w:tc>
          <w:tcPr>
            <w:tcW w:w="1560" w:type="dxa"/>
          </w:tcPr>
          <w:p>
            <w:pPr>
              <w:spacing w:line="500" w:lineRule="exact"/>
              <w:jc w:val="left"/>
              <w:rPr>
                <w:rFonts w:hint="default" w:ascii="Times New Roman" w:hAnsi="Times New Roman" w:cs="Times New Roman"/>
                <w:sz w:val="24"/>
                <w:szCs w:val="24"/>
              </w:rPr>
            </w:pPr>
          </w:p>
        </w:tc>
        <w:tc>
          <w:tcPr>
            <w:tcW w:w="1984" w:type="dxa"/>
          </w:tcPr>
          <w:p>
            <w:pPr>
              <w:spacing w:line="500" w:lineRule="exact"/>
              <w:jc w:val="left"/>
              <w:rPr>
                <w:rFonts w:hint="default" w:ascii="Times New Roman" w:hAnsi="Times New Roman" w:cs="Times New Roman"/>
                <w:sz w:val="24"/>
                <w:szCs w:val="24"/>
              </w:rPr>
            </w:pPr>
          </w:p>
        </w:tc>
        <w:tc>
          <w:tcPr>
            <w:tcW w:w="1843" w:type="dxa"/>
          </w:tcPr>
          <w:p>
            <w:pPr>
              <w:spacing w:line="500" w:lineRule="exact"/>
              <w:jc w:val="left"/>
              <w:rPr>
                <w:rFonts w:hint="default" w:ascii="Times New Roman" w:hAnsi="Times New Roman" w:cs="Times New Roman"/>
                <w:sz w:val="24"/>
                <w:szCs w:val="24"/>
              </w:rPr>
            </w:pPr>
          </w:p>
        </w:tc>
        <w:tc>
          <w:tcPr>
            <w:tcW w:w="1559" w:type="dxa"/>
          </w:tcPr>
          <w:p>
            <w:pPr>
              <w:spacing w:line="500" w:lineRule="exact"/>
              <w:jc w:val="left"/>
              <w:rPr>
                <w:rFonts w:hint="default" w:ascii="Times New Roman" w:hAnsi="Times New Roman"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8" w:hRule="atLeast"/>
        </w:trPr>
        <w:tc>
          <w:tcPr>
            <w:tcW w:w="402" w:type="dxa"/>
          </w:tcPr>
          <w:p>
            <w:pPr>
              <w:spacing w:line="500" w:lineRule="exact"/>
              <w:jc w:val="left"/>
              <w:rPr>
                <w:rFonts w:hint="default" w:ascii="Times New Roman" w:hAnsi="Times New Roman" w:cs="Times New Roman"/>
                <w:sz w:val="24"/>
                <w:szCs w:val="24"/>
              </w:rPr>
            </w:pPr>
          </w:p>
        </w:tc>
        <w:tc>
          <w:tcPr>
            <w:tcW w:w="1113" w:type="dxa"/>
          </w:tcPr>
          <w:p>
            <w:pPr>
              <w:spacing w:line="500" w:lineRule="exact"/>
              <w:jc w:val="left"/>
              <w:rPr>
                <w:rFonts w:hint="default" w:ascii="Times New Roman" w:hAnsi="Times New Roman" w:cs="Times New Roman"/>
                <w:sz w:val="24"/>
                <w:szCs w:val="24"/>
              </w:rPr>
            </w:pPr>
          </w:p>
        </w:tc>
        <w:tc>
          <w:tcPr>
            <w:tcW w:w="1134"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1417" w:type="dxa"/>
          </w:tcPr>
          <w:p>
            <w:pPr>
              <w:spacing w:line="500" w:lineRule="exact"/>
              <w:jc w:val="left"/>
              <w:rPr>
                <w:rFonts w:hint="default" w:ascii="Times New Roman" w:hAnsi="Times New Roman" w:cs="Times New Roman"/>
                <w:sz w:val="24"/>
                <w:szCs w:val="24"/>
              </w:rPr>
            </w:pPr>
          </w:p>
        </w:tc>
        <w:tc>
          <w:tcPr>
            <w:tcW w:w="2126" w:type="dxa"/>
          </w:tcPr>
          <w:p>
            <w:pPr>
              <w:spacing w:line="500" w:lineRule="exact"/>
              <w:jc w:val="left"/>
              <w:rPr>
                <w:rFonts w:hint="default" w:ascii="Times New Roman" w:hAnsi="Times New Roman" w:cs="Times New Roman"/>
                <w:sz w:val="24"/>
                <w:szCs w:val="24"/>
              </w:rPr>
            </w:pPr>
          </w:p>
        </w:tc>
        <w:tc>
          <w:tcPr>
            <w:tcW w:w="1560" w:type="dxa"/>
          </w:tcPr>
          <w:p>
            <w:pPr>
              <w:spacing w:line="500" w:lineRule="exact"/>
              <w:jc w:val="left"/>
              <w:rPr>
                <w:rFonts w:hint="default" w:ascii="Times New Roman" w:hAnsi="Times New Roman" w:cs="Times New Roman"/>
                <w:sz w:val="24"/>
                <w:szCs w:val="24"/>
              </w:rPr>
            </w:pPr>
          </w:p>
        </w:tc>
        <w:tc>
          <w:tcPr>
            <w:tcW w:w="1984" w:type="dxa"/>
          </w:tcPr>
          <w:p>
            <w:pPr>
              <w:spacing w:line="500" w:lineRule="exact"/>
              <w:jc w:val="left"/>
              <w:rPr>
                <w:rFonts w:hint="default" w:ascii="Times New Roman" w:hAnsi="Times New Roman" w:cs="Times New Roman"/>
                <w:sz w:val="24"/>
                <w:szCs w:val="24"/>
              </w:rPr>
            </w:pPr>
          </w:p>
        </w:tc>
        <w:tc>
          <w:tcPr>
            <w:tcW w:w="1843" w:type="dxa"/>
          </w:tcPr>
          <w:p>
            <w:pPr>
              <w:spacing w:line="500" w:lineRule="exact"/>
              <w:jc w:val="left"/>
              <w:rPr>
                <w:rFonts w:hint="default" w:ascii="Times New Roman" w:hAnsi="Times New Roman" w:cs="Times New Roman"/>
                <w:sz w:val="24"/>
                <w:szCs w:val="24"/>
              </w:rPr>
            </w:pPr>
          </w:p>
        </w:tc>
        <w:tc>
          <w:tcPr>
            <w:tcW w:w="1559" w:type="dxa"/>
          </w:tcPr>
          <w:p>
            <w:pPr>
              <w:spacing w:line="500" w:lineRule="exact"/>
              <w:jc w:val="left"/>
              <w:rPr>
                <w:rFonts w:hint="default" w:ascii="Times New Roman" w:hAnsi="Times New Roman" w:cs="Times New Roman"/>
                <w:sz w:val="24"/>
                <w:szCs w:val="24"/>
              </w:rPr>
            </w:pPr>
          </w:p>
        </w:tc>
      </w:tr>
    </w:tbl>
    <w:p>
      <w:pPr>
        <w:keepNext w:val="0"/>
        <w:keepLines w:val="0"/>
        <w:pageBreakBefore w:val="0"/>
        <w:widowControl w:val="0"/>
        <w:kinsoku/>
        <w:wordWrap/>
        <w:overflowPunct/>
        <w:topLinePunct w:val="0"/>
        <w:autoSpaceDE/>
        <w:autoSpaceDN/>
        <w:bidi w:val="0"/>
        <w:adjustRightInd/>
        <w:snapToGrid/>
        <w:spacing w:line="300" w:lineRule="exact"/>
        <w:ind w:left="843" w:hanging="840" w:hangingChars="350"/>
        <w:jc w:val="left"/>
        <w:textAlignment w:val="auto"/>
        <w:rPr>
          <w:rFonts w:hint="eastAsia" w:ascii="方正楷体_GBK" w:hAnsi="方正楷体_GBK" w:eastAsia="方正楷体_GBK" w:cs="方正楷体_GBK"/>
          <w:b w:val="0"/>
          <w:bCs w:val="0"/>
          <w:sz w:val="24"/>
          <w:szCs w:val="24"/>
        </w:rPr>
      </w:pPr>
      <w:r>
        <w:rPr>
          <w:rFonts w:hint="eastAsia" w:ascii="方正楷体_GBK" w:hAnsi="方正楷体_GBK" w:eastAsia="方正楷体_GBK" w:cs="方正楷体_GBK"/>
          <w:b w:val="0"/>
          <w:bCs w:val="0"/>
          <w:sz w:val="24"/>
          <w:szCs w:val="24"/>
        </w:rPr>
        <w:t>备注：1.开通“英才卡”即可享受人才增值服务：金融类增值服务1-8和非金融类增值服务1-4（增值服务根据发卡行规划进行每年更新，以发卡行最新公布为准）；</w:t>
      </w:r>
    </w:p>
    <w:p>
      <w:pPr>
        <w:keepNext w:val="0"/>
        <w:keepLines w:val="0"/>
        <w:pageBreakBefore w:val="0"/>
        <w:widowControl w:val="0"/>
        <w:kinsoku/>
        <w:wordWrap/>
        <w:overflowPunct/>
        <w:topLinePunct w:val="0"/>
        <w:autoSpaceDE/>
        <w:autoSpaceDN/>
        <w:bidi w:val="0"/>
        <w:adjustRightInd/>
        <w:snapToGrid/>
        <w:spacing w:line="300" w:lineRule="exact"/>
        <w:ind w:left="843" w:hanging="840" w:hangingChars="350"/>
        <w:jc w:val="left"/>
        <w:textAlignment w:val="auto"/>
        <w:rPr>
          <w:rFonts w:hint="eastAsia" w:ascii="方正楷体_GBK" w:hAnsi="方正楷体_GBK" w:eastAsia="方正楷体_GBK" w:cs="方正楷体_GBK"/>
          <w:b w:val="0"/>
          <w:bCs w:val="0"/>
          <w:sz w:val="24"/>
          <w:szCs w:val="24"/>
        </w:rPr>
      </w:pPr>
      <w:r>
        <w:rPr>
          <w:rFonts w:hint="eastAsia" w:ascii="方正楷体_GBK" w:hAnsi="方正楷体_GBK" w:eastAsia="方正楷体_GBK" w:cs="方正楷体_GBK"/>
          <w:b w:val="0"/>
          <w:bCs w:val="0"/>
          <w:sz w:val="24"/>
          <w:szCs w:val="24"/>
        </w:rPr>
        <w:t xml:space="preserve">      2.办理消费类“人才贷”服务可享受“人才贷”1项贷款服务；办理经营类“人才贷”服务可享受“人才贷”2-6项贷款服务（凡是以个人名义申请的贷款服务对象不包括外籍人士，另贷款服务应以贷款行相关产品细则为准）；</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rPr>
          <w:rFonts w:hint="eastAsia" w:ascii="方正楷体_GBK" w:hAnsi="方正楷体_GBK" w:eastAsia="方正楷体_GBK" w:cs="方正楷体_GBK"/>
          <w:b w:val="0"/>
          <w:bCs w:val="0"/>
          <w:sz w:val="24"/>
          <w:szCs w:val="24"/>
        </w:rPr>
      </w:pPr>
      <w:r>
        <w:rPr>
          <w:rFonts w:hint="eastAsia" w:ascii="方正楷体_GBK" w:hAnsi="方正楷体_GBK" w:eastAsia="方正楷体_GBK" w:cs="方正楷体_GBK"/>
          <w:b w:val="0"/>
          <w:bCs w:val="0"/>
          <w:sz w:val="24"/>
          <w:szCs w:val="24"/>
        </w:rPr>
        <w:t xml:space="preserve">      3. “英才卡”持卡人可向重庆银行申请办理白金信用卡，享受白金信用卡相关服务；</w:t>
      </w:r>
    </w:p>
    <w:p>
      <w:pPr>
        <w:keepNext w:val="0"/>
        <w:keepLines w:val="0"/>
        <w:pageBreakBefore w:val="0"/>
        <w:widowControl w:val="0"/>
        <w:kinsoku/>
        <w:wordWrap/>
        <w:overflowPunct/>
        <w:topLinePunct w:val="0"/>
        <w:autoSpaceDE/>
        <w:autoSpaceDN/>
        <w:bidi w:val="0"/>
        <w:adjustRightInd/>
        <w:snapToGrid/>
        <w:spacing w:line="300" w:lineRule="exact"/>
        <w:ind w:firstLine="720" w:firstLineChars="300"/>
        <w:jc w:val="left"/>
        <w:textAlignment w:val="auto"/>
        <w:rPr>
          <w:rFonts w:hint="eastAsia" w:ascii="方正楷体_GBK" w:hAnsi="方正楷体_GBK" w:eastAsia="方正楷体_GBK" w:cs="方正楷体_GBK"/>
          <w:b w:val="0"/>
          <w:bCs w:val="0"/>
          <w:sz w:val="24"/>
          <w:szCs w:val="24"/>
        </w:rPr>
      </w:pPr>
      <w:r>
        <w:rPr>
          <w:rFonts w:hint="eastAsia" w:ascii="方正楷体_GBK" w:hAnsi="方正楷体_GBK" w:eastAsia="方正楷体_GBK" w:cs="方正楷体_GBK"/>
          <w:b w:val="0"/>
          <w:bCs w:val="0"/>
          <w:sz w:val="24"/>
          <w:szCs w:val="24"/>
        </w:rPr>
        <w:t>4. “人才贷”贷款期限最长一年，且不得超过人才证到期日，银行建议人才证到期前及时办理延期；</w:t>
      </w:r>
    </w:p>
    <w:p>
      <w:pPr>
        <w:keepNext w:val="0"/>
        <w:keepLines w:val="0"/>
        <w:pageBreakBefore w:val="0"/>
        <w:widowControl w:val="0"/>
        <w:kinsoku/>
        <w:wordWrap/>
        <w:overflowPunct/>
        <w:topLinePunct w:val="0"/>
        <w:autoSpaceDE/>
        <w:autoSpaceDN/>
        <w:bidi w:val="0"/>
        <w:adjustRightInd/>
        <w:snapToGrid/>
        <w:spacing w:line="300" w:lineRule="exact"/>
        <w:ind w:firstLine="720" w:firstLineChars="300"/>
        <w:jc w:val="left"/>
        <w:textAlignment w:val="auto"/>
        <w:rPr>
          <w:rFonts w:hint="eastAsia" w:ascii="方正楷体_GBK" w:hAnsi="方正楷体_GBK" w:eastAsia="方正楷体_GBK" w:cs="方正楷体_GBK"/>
          <w:b w:val="0"/>
          <w:bCs w:val="0"/>
          <w:sz w:val="24"/>
          <w:szCs w:val="24"/>
        </w:rPr>
      </w:pPr>
      <w:r>
        <w:rPr>
          <w:rFonts w:hint="eastAsia" w:ascii="方正楷体_GBK" w:hAnsi="方正楷体_GBK" w:eastAsia="方正楷体_GBK" w:cs="方正楷体_GBK"/>
          <w:b w:val="0"/>
          <w:bCs w:val="0"/>
          <w:sz w:val="24"/>
          <w:szCs w:val="24"/>
        </w:rPr>
        <w:t>5.</w:t>
      </w:r>
      <w:r>
        <w:rPr>
          <w:rFonts w:hint="eastAsia" w:ascii="方正楷体_GBK" w:hAnsi="方正楷体_GBK" w:eastAsia="方正楷体_GBK" w:cs="方正楷体_GBK"/>
          <w:b w:val="0"/>
          <w:bCs w:val="0"/>
        </w:rPr>
        <w:t xml:space="preserve"> </w:t>
      </w:r>
      <w:r>
        <w:rPr>
          <w:rFonts w:hint="eastAsia" w:ascii="方正楷体_GBK" w:hAnsi="方正楷体_GBK" w:eastAsia="方正楷体_GBK" w:cs="方正楷体_GBK"/>
          <w:b w:val="0"/>
          <w:bCs w:val="0"/>
          <w:sz w:val="24"/>
          <w:szCs w:val="24"/>
        </w:rPr>
        <w:t>相关增值服务仅限持有“重庆市人才服务证”的人才享有，若持卡人才注销人才服务证或失去人才资格，将不再享有相关增值服务；</w:t>
      </w:r>
    </w:p>
    <w:p>
      <w:pPr>
        <w:keepNext w:val="0"/>
        <w:keepLines w:val="0"/>
        <w:pageBreakBefore w:val="0"/>
        <w:widowControl w:val="0"/>
        <w:kinsoku/>
        <w:wordWrap/>
        <w:overflowPunct/>
        <w:topLinePunct w:val="0"/>
        <w:autoSpaceDE/>
        <w:autoSpaceDN/>
        <w:bidi w:val="0"/>
        <w:adjustRightInd/>
        <w:snapToGrid/>
        <w:spacing w:line="300" w:lineRule="exact"/>
        <w:ind w:firstLine="720" w:firstLineChars="300"/>
        <w:jc w:val="left"/>
        <w:textAlignment w:val="auto"/>
        <w:rPr>
          <w:rFonts w:hint="default" w:ascii="Times New Roman" w:hAnsi="Times New Roman" w:cs="Times New Roman"/>
          <w:b/>
          <w:bCs/>
          <w:sz w:val="24"/>
          <w:szCs w:val="24"/>
        </w:rPr>
      </w:pPr>
      <w:r>
        <w:rPr>
          <w:rFonts w:hint="eastAsia" w:ascii="方正楷体_GBK" w:hAnsi="方正楷体_GBK" w:eastAsia="方正楷体_GBK" w:cs="方正楷体_GBK"/>
          <w:b w:val="0"/>
          <w:bCs w:val="0"/>
          <w:sz w:val="24"/>
          <w:szCs w:val="24"/>
        </w:rPr>
        <w:t>6.申办信息表由用人单位联络员填写并通过电子邮件发送至：</w:t>
      </w:r>
      <w:r>
        <w:rPr>
          <w:rFonts w:hint="eastAsia" w:ascii="方正楷体_GBK" w:hAnsi="方正楷体_GBK" w:eastAsia="方正楷体_GBK" w:cs="方正楷体_GBK"/>
          <w:b w:val="0"/>
          <w:bCs w:val="0"/>
        </w:rPr>
        <w:fldChar w:fldCharType="begin"/>
      </w:r>
      <w:r>
        <w:rPr>
          <w:rFonts w:hint="eastAsia" w:ascii="方正楷体_GBK" w:hAnsi="方正楷体_GBK" w:eastAsia="方正楷体_GBK" w:cs="方正楷体_GBK"/>
          <w:b w:val="0"/>
          <w:bCs w:val="0"/>
        </w:rPr>
        <w:instrText xml:space="preserve"> HYPERLINK "mailto:cqrcgfb@163.com，联系电话：023-88212062" </w:instrText>
      </w:r>
      <w:r>
        <w:rPr>
          <w:rFonts w:hint="eastAsia" w:ascii="方正楷体_GBK" w:hAnsi="方正楷体_GBK" w:eastAsia="方正楷体_GBK" w:cs="方正楷体_GBK"/>
          <w:b w:val="0"/>
          <w:bCs w:val="0"/>
        </w:rPr>
        <w:fldChar w:fldCharType="separate"/>
      </w:r>
      <w:r>
        <w:rPr>
          <w:rFonts w:hint="eastAsia" w:ascii="方正楷体_GBK" w:hAnsi="方正楷体_GBK" w:eastAsia="方正楷体_GBK" w:cs="方正楷体_GBK"/>
          <w:b w:val="0"/>
          <w:bCs w:val="0"/>
          <w:sz w:val="24"/>
          <w:szCs w:val="24"/>
        </w:rPr>
        <w:t>cqrcgfb@163.com，联系电话：023-88212062</w:t>
      </w:r>
      <w:r>
        <w:rPr>
          <w:rFonts w:hint="eastAsia" w:ascii="方正楷体_GBK" w:hAnsi="方正楷体_GBK" w:eastAsia="方正楷体_GBK" w:cs="方正楷体_GBK"/>
          <w:b w:val="0"/>
          <w:bCs w:val="0"/>
          <w:sz w:val="24"/>
          <w:szCs w:val="24"/>
        </w:rPr>
        <w:fldChar w:fldCharType="end"/>
      </w:r>
      <w:r>
        <w:rPr>
          <w:rFonts w:hint="default" w:ascii="Times New Roman" w:hAnsi="Times New Roman" w:cs="Times New Roman"/>
          <w:b/>
          <w:bCs/>
          <w:sz w:val="24"/>
          <w:szCs w:val="24"/>
        </w:rPr>
        <w:t>、88723762。</w:t>
      </w:r>
    </w:p>
    <w:p>
      <w:pPr>
        <w:widowControl/>
        <w:jc w:val="left"/>
        <w:rPr>
          <w:rFonts w:hint="default" w:ascii="Times New Roman" w:hAnsi="Times New Roman" w:eastAsia="黑体" w:cs="Times New Roman"/>
          <w:kern w:val="0"/>
          <w:szCs w:val="32"/>
        </w:rPr>
      </w:pPr>
    </w:p>
    <w:p>
      <w:pPr>
        <w:widowControl/>
        <w:jc w:val="left"/>
        <w:rPr>
          <w:rFonts w:hint="default" w:ascii="Times New Roman" w:hAnsi="Times New Roman" w:eastAsia="黑体" w:cs="Times New Roman"/>
          <w:kern w:val="0"/>
          <w:szCs w:val="32"/>
        </w:rPr>
      </w:pPr>
    </w:p>
    <w:p>
      <w:pPr>
        <w:widowControl/>
        <w:jc w:val="left"/>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附件3</w:t>
      </w:r>
    </w:p>
    <w:p>
      <w:pPr>
        <w:spacing w:line="500" w:lineRule="exact"/>
        <w:ind w:firstLine="880" w:firstLineChars="200"/>
        <w:jc w:val="center"/>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t>重庆市高层次人才申办“英才卡”信息反馈表</w:t>
      </w:r>
    </w:p>
    <w:p>
      <w:pPr>
        <w:spacing w:line="500" w:lineRule="exact"/>
        <w:ind w:firstLine="880" w:firstLineChars="200"/>
        <w:jc w:val="center"/>
        <w:rPr>
          <w:rFonts w:hint="default" w:ascii="Times New Roman" w:hAnsi="Times New Roman" w:eastAsia="方正小标宋简体" w:cs="Times New Roman"/>
          <w:sz w:val="44"/>
          <w:szCs w:val="44"/>
        </w:rPr>
      </w:pPr>
    </w:p>
    <w:p>
      <w:pPr>
        <w:spacing w:line="400" w:lineRule="exact"/>
        <w:rPr>
          <w:rFonts w:hint="default" w:ascii="Times New Roman" w:hAnsi="Times New Roman" w:cs="Times New Roman"/>
          <w:b/>
          <w:bCs/>
          <w:sz w:val="24"/>
          <w:szCs w:val="21"/>
        </w:rPr>
      </w:pPr>
      <w:r>
        <w:rPr>
          <w:rFonts w:hint="default" w:ascii="Times New Roman" w:hAnsi="Times New Roman" w:cs="Times New Roman"/>
          <w:b/>
          <w:bCs/>
          <w:sz w:val="24"/>
          <w:szCs w:val="21"/>
        </w:rPr>
        <w:t>单位：（盖章）</w:t>
      </w:r>
    </w:p>
    <w:tbl>
      <w:tblPr>
        <w:tblStyle w:val="8"/>
        <w:tblW w:w="15406" w:type="dxa"/>
        <w:tblInd w:w="-66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2"/>
        <w:gridCol w:w="662"/>
        <w:gridCol w:w="1072"/>
        <w:gridCol w:w="1869"/>
        <w:gridCol w:w="1068"/>
        <w:gridCol w:w="1334"/>
        <w:gridCol w:w="1468"/>
        <w:gridCol w:w="667"/>
        <w:gridCol w:w="1336"/>
        <w:gridCol w:w="1276"/>
        <w:gridCol w:w="850"/>
        <w:gridCol w:w="1276"/>
        <w:gridCol w:w="1276"/>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09" w:hRule="atLeast"/>
        </w:trPr>
        <w:tc>
          <w:tcPr>
            <w:tcW w:w="402" w:type="dxa"/>
            <w:vAlign w:val="center"/>
          </w:tcPr>
          <w:p>
            <w:pPr>
              <w:spacing w:line="500" w:lineRule="exact"/>
              <w:rPr>
                <w:rFonts w:hint="default" w:ascii="Times New Roman" w:hAnsi="Times New Roman" w:cs="Times New Roman"/>
                <w:b/>
                <w:bCs/>
                <w:sz w:val="21"/>
                <w:szCs w:val="21"/>
              </w:rPr>
            </w:pPr>
            <w:r>
              <w:rPr>
                <w:rFonts w:hint="default" w:ascii="Times New Roman" w:hAnsi="Times New Roman" w:cs="Times New Roman"/>
                <w:b/>
                <w:bCs/>
                <w:sz w:val="21"/>
                <w:szCs w:val="21"/>
              </w:rPr>
              <w:t>序号</w:t>
            </w:r>
          </w:p>
        </w:tc>
        <w:tc>
          <w:tcPr>
            <w:tcW w:w="662" w:type="dxa"/>
            <w:vAlign w:val="center"/>
          </w:tcPr>
          <w:p>
            <w:pPr>
              <w:adjustRightInd w:val="0"/>
              <w:snapToGrid w:val="0"/>
              <w:rPr>
                <w:rFonts w:hint="default" w:ascii="Times New Roman" w:hAnsi="Times New Roman" w:cs="Times New Roman"/>
                <w:b/>
                <w:bCs/>
                <w:sz w:val="21"/>
                <w:szCs w:val="21"/>
              </w:rPr>
            </w:pPr>
            <w:r>
              <w:rPr>
                <w:rFonts w:hint="default" w:ascii="Times New Roman" w:hAnsi="Times New Roman" w:cs="Times New Roman"/>
                <w:b/>
                <w:bCs/>
                <w:sz w:val="21"/>
                <w:szCs w:val="21"/>
              </w:rPr>
              <w:t>人才姓名</w:t>
            </w:r>
          </w:p>
        </w:tc>
        <w:tc>
          <w:tcPr>
            <w:tcW w:w="1072"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证件类型</w:t>
            </w:r>
          </w:p>
        </w:tc>
        <w:tc>
          <w:tcPr>
            <w:tcW w:w="1869"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证件号码</w:t>
            </w:r>
          </w:p>
        </w:tc>
        <w:tc>
          <w:tcPr>
            <w:tcW w:w="1068"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人才类别</w:t>
            </w:r>
          </w:p>
        </w:tc>
        <w:tc>
          <w:tcPr>
            <w:tcW w:w="1334"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联系方式</w:t>
            </w:r>
          </w:p>
        </w:tc>
        <w:tc>
          <w:tcPr>
            <w:tcW w:w="1468"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工作单位</w:t>
            </w:r>
          </w:p>
        </w:tc>
        <w:tc>
          <w:tcPr>
            <w:tcW w:w="667"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开卡区域</w:t>
            </w:r>
          </w:p>
        </w:tc>
        <w:tc>
          <w:tcPr>
            <w:tcW w:w="1336"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开卡网点</w:t>
            </w:r>
          </w:p>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（人才贷）</w:t>
            </w:r>
          </w:p>
        </w:tc>
        <w:tc>
          <w:tcPr>
            <w:tcW w:w="1276"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是否办理“英才卡”</w:t>
            </w:r>
          </w:p>
        </w:tc>
        <w:tc>
          <w:tcPr>
            <w:tcW w:w="850"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是否上门服务</w:t>
            </w:r>
          </w:p>
        </w:tc>
        <w:tc>
          <w:tcPr>
            <w:tcW w:w="1276"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是否办理消费类“人才贷服务”</w:t>
            </w:r>
          </w:p>
        </w:tc>
        <w:tc>
          <w:tcPr>
            <w:tcW w:w="1276"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是否办理经营类“人才贷服务”</w:t>
            </w:r>
          </w:p>
        </w:tc>
        <w:tc>
          <w:tcPr>
            <w:tcW w:w="850" w:type="dxa"/>
            <w:vAlign w:val="center"/>
          </w:tcPr>
          <w:p>
            <w:pPr>
              <w:adjustRightInd w:val="0"/>
              <w:snapToGrid w:val="0"/>
              <w:jc w:val="center"/>
              <w:rPr>
                <w:rFonts w:hint="default" w:ascii="Times New Roman" w:hAnsi="Times New Roman" w:cs="Times New Roman"/>
                <w:b/>
                <w:bCs/>
                <w:sz w:val="21"/>
                <w:szCs w:val="21"/>
              </w:rPr>
            </w:pPr>
            <w:r>
              <w:rPr>
                <w:rFonts w:hint="default" w:ascii="Times New Roman" w:hAnsi="Times New Roman" w:cs="Times New Roman"/>
                <w:b/>
                <w:bCs/>
                <w:sz w:val="21"/>
                <w:szCs w:val="21"/>
              </w:rPr>
              <w:t>是否办理白金信用卡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92" w:hRule="atLeast"/>
        </w:trPr>
        <w:tc>
          <w:tcPr>
            <w:tcW w:w="402" w:type="dxa"/>
          </w:tcPr>
          <w:p>
            <w:pPr>
              <w:spacing w:line="500" w:lineRule="exact"/>
              <w:jc w:val="left"/>
              <w:rPr>
                <w:rFonts w:hint="default" w:ascii="Times New Roman" w:hAnsi="Times New Roman" w:cs="Times New Roman"/>
                <w:sz w:val="24"/>
                <w:szCs w:val="24"/>
              </w:rPr>
            </w:pPr>
          </w:p>
        </w:tc>
        <w:tc>
          <w:tcPr>
            <w:tcW w:w="662" w:type="dxa"/>
          </w:tcPr>
          <w:p>
            <w:pPr>
              <w:spacing w:line="500" w:lineRule="exact"/>
              <w:jc w:val="left"/>
              <w:rPr>
                <w:rFonts w:hint="default" w:ascii="Times New Roman" w:hAnsi="Times New Roman" w:cs="Times New Roman"/>
                <w:sz w:val="24"/>
                <w:szCs w:val="24"/>
              </w:rPr>
            </w:pPr>
          </w:p>
        </w:tc>
        <w:tc>
          <w:tcPr>
            <w:tcW w:w="1072" w:type="dxa"/>
          </w:tcPr>
          <w:p>
            <w:pPr>
              <w:spacing w:line="500" w:lineRule="exact"/>
              <w:jc w:val="left"/>
              <w:rPr>
                <w:rFonts w:hint="default" w:ascii="Times New Roman" w:hAnsi="Times New Roman" w:cs="Times New Roman"/>
                <w:sz w:val="24"/>
                <w:szCs w:val="24"/>
              </w:rPr>
            </w:pPr>
          </w:p>
        </w:tc>
        <w:tc>
          <w:tcPr>
            <w:tcW w:w="1869" w:type="dxa"/>
          </w:tcPr>
          <w:p>
            <w:pPr>
              <w:spacing w:line="500" w:lineRule="exact"/>
              <w:jc w:val="left"/>
              <w:rPr>
                <w:rFonts w:hint="default" w:ascii="Times New Roman" w:hAnsi="Times New Roman" w:cs="Times New Roman"/>
                <w:sz w:val="24"/>
                <w:szCs w:val="24"/>
              </w:rPr>
            </w:pPr>
          </w:p>
        </w:tc>
        <w:tc>
          <w:tcPr>
            <w:tcW w:w="1068" w:type="dxa"/>
          </w:tcPr>
          <w:p>
            <w:pPr>
              <w:spacing w:line="500" w:lineRule="exact"/>
              <w:jc w:val="left"/>
              <w:rPr>
                <w:rFonts w:hint="default" w:ascii="Times New Roman" w:hAnsi="Times New Roman" w:cs="Times New Roman"/>
                <w:sz w:val="24"/>
                <w:szCs w:val="24"/>
              </w:rPr>
            </w:pPr>
          </w:p>
        </w:tc>
        <w:tc>
          <w:tcPr>
            <w:tcW w:w="1334" w:type="dxa"/>
          </w:tcPr>
          <w:p>
            <w:pPr>
              <w:spacing w:line="500" w:lineRule="exact"/>
              <w:jc w:val="left"/>
              <w:rPr>
                <w:rFonts w:hint="default" w:ascii="Times New Roman" w:hAnsi="Times New Roman" w:cs="Times New Roman"/>
                <w:sz w:val="24"/>
                <w:szCs w:val="24"/>
              </w:rPr>
            </w:pPr>
          </w:p>
        </w:tc>
        <w:tc>
          <w:tcPr>
            <w:tcW w:w="1468" w:type="dxa"/>
          </w:tcPr>
          <w:p>
            <w:pPr>
              <w:spacing w:line="500" w:lineRule="exact"/>
              <w:jc w:val="left"/>
              <w:rPr>
                <w:rFonts w:hint="default" w:ascii="Times New Roman" w:hAnsi="Times New Roman" w:cs="Times New Roman"/>
                <w:sz w:val="24"/>
                <w:szCs w:val="24"/>
              </w:rPr>
            </w:pPr>
          </w:p>
        </w:tc>
        <w:tc>
          <w:tcPr>
            <w:tcW w:w="667" w:type="dxa"/>
          </w:tcPr>
          <w:p>
            <w:pPr>
              <w:spacing w:line="500" w:lineRule="exact"/>
              <w:jc w:val="left"/>
              <w:rPr>
                <w:rFonts w:hint="default" w:ascii="Times New Roman" w:hAnsi="Times New Roman" w:cs="Times New Roman"/>
                <w:sz w:val="24"/>
                <w:szCs w:val="24"/>
              </w:rPr>
            </w:pPr>
          </w:p>
        </w:tc>
        <w:tc>
          <w:tcPr>
            <w:tcW w:w="1336"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850"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850" w:type="dxa"/>
          </w:tcPr>
          <w:p>
            <w:pPr>
              <w:spacing w:line="500" w:lineRule="exact"/>
              <w:jc w:val="left"/>
              <w:rPr>
                <w:rFonts w:hint="default" w:ascii="Times New Roman" w:hAnsi="Times New Roman"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8" w:hRule="atLeast"/>
        </w:trPr>
        <w:tc>
          <w:tcPr>
            <w:tcW w:w="402" w:type="dxa"/>
          </w:tcPr>
          <w:p>
            <w:pPr>
              <w:spacing w:line="500" w:lineRule="exact"/>
              <w:jc w:val="left"/>
              <w:rPr>
                <w:rFonts w:hint="default" w:ascii="Times New Roman" w:hAnsi="Times New Roman" w:cs="Times New Roman"/>
                <w:sz w:val="24"/>
                <w:szCs w:val="24"/>
              </w:rPr>
            </w:pPr>
          </w:p>
        </w:tc>
        <w:tc>
          <w:tcPr>
            <w:tcW w:w="662" w:type="dxa"/>
          </w:tcPr>
          <w:p>
            <w:pPr>
              <w:spacing w:line="500" w:lineRule="exact"/>
              <w:jc w:val="left"/>
              <w:rPr>
                <w:rFonts w:hint="default" w:ascii="Times New Roman" w:hAnsi="Times New Roman" w:cs="Times New Roman"/>
                <w:sz w:val="24"/>
                <w:szCs w:val="24"/>
              </w:rPr>
            </w:pPr>
          </w:p>
        </w:tc>
        <w:tc>
          <w:tcPr>
            <w:tcW w:w="1072" w:type="dxa"/>
          </w:tcPr>
          <w:p>
            <w:pPr>
              <w:spacing w:line="500" w:lineRule="exact"/>
              <w:jc w:val="left"/>
              <w:rPr>
                <w:rFonts w:hint="default" w:ascii="Times New Roman" w:hAnsi="Times New Roman" w:cs="Times New Roman"/>
                <w:sz w:val="24"/>
                <w:szCs w:val="24"/>
              </w:rPr>
            </w:pPr>
          </w:p>
        </w:tc>
        <w:tc>
          <w:tcPr>
            <w:tcW w:w="1869" w:type="dxa"/>
          </w:tcPr>
          <w:p>
            <w:pPr>
              <w:spacing w:line="500" w:lineRule="exact"/>
              <w:jc w:val="left"/>
              <w:rPr>
                <w:rFonts w:hint="default" w:ascii="Times New Roman" w:hAnsi="Times New Roman" w:cs="Times New Roman"/>
                <w:sz w:val="24"/>
                <w:szCs w:val="24"/>
              </w:rPr>
            </w:pPr>
          </w:p>
        </w:tc>
        <w:tc>
          <w:tcPr>
            <w:tcW w:w="1068" w:type="dxa"/>
          </w:tcPr>
          <w:p>
            <w:pPr>
              <w:spacing w:line="500" w:lineRule="exact"/>
              <w:jc w:val="left"/>
              <w:rPr>
                <w:rFonts w:hint="default" w:ascii="Times New Roman" w:hAnsi="Times New Roman" w:cs="Times New Roman"/>
                <w:sz w:val="24"/>
                <w:szCs w:val="24"/>
              </w:rPr>
            </w:pPr>
          </w:p>
        </w:tc>
        <w:tc>
          <w:tcPr>
            <w:tcW w:w="1334" w:type="dxa"/>
          </w:tcPr>
          <w:p>
            <w:pPr>
              <w:spacing w:line="500" w:lineRule="exact"/>
              <w:jc w:val="left"/>
              <w:rPr>
                <w:rFonts w:hint="default" w:ascii="Times New Roman" w:hAnsi="Times New Roman" w:cs="Times New Roman"/>
                <w:sz w:val="24"/>
                <w:szCs w:val="24"/>
              </w:rPr>
            </w:pPr>
          </w:p>
        </w:tc>
        <w:tc>
          <w:tcPr>
            <w:tcW w:w="1468" w:type="dxa"/>
          </w:tcPr>
          <w:p>
            <w:pPr>
              <w:spacing w:line="500" w:lineRule="exact"/>
              <w:jc w:val="left"/>
              <w:rPr>
                <w:rFonts w:hint="default" w:ascii="Times New Roman" w:hAnsi="Times New Roman" w:cs="Times New Roman"/>
                <w:sz w:val="24"/>
                <w:szCs w:val="24"/>
              </w:rPr>
            </w:pPr>
          </w:p>
        </w:tc>
        <w:tc>
          <w:tcPr>
            <w:tcW w:w="667" w:type="dxa"/>
          </w:tcPr>
          <w:p>
            <w:pPr>
              <w:spacing w:line="500" w:lineRule="exact"/>
              <w:jc w:val="left"/>
              <w:rPr>
                <w:rFonts w:hint="default" w:ascii="Times New Roman" w:hAnsi="Times New Roman" w:cs="Times New Roman"/>
                <w:sz w:val="24"/>
                <w:szCs w:val="24"/>
              </w:rPr>
            </w:pPr>
          </w:p>
        </w:tc>
        <w:tc>
          <w:tcPr>
            <w:tcW w:w="1336"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850"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850" w:type="dxa"/>
          </w:tcPr>
          <w:p>
            <w:pPr>
              <w:spacing w:line="500" w:lineRule="exact"/>
              <w:jc w:val="left"/>
              <w:rPr>
                <w:rFonts w:hint="default" w:ascii="Times New Roman" w:hAnsi="Times New Roman"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8" w:hRule="atLeast"/>
        </w:trPr>
        <w:tc>
          <w:tcPr>
            <w:tcW w:w="402" w:type="dxa"/>
          </w:tcPr>
          <w:p>
            <w:pPr>
              <w:spacing w:line="500" w:lineRule="exact"/>
              <w:jc w:val="left"/>
              <w:rPr>
                <w:rFonts w:hint="default" w:ascii="Times New Roman" w:hAnsi="Times New Roman" w:cs="Times New Roman"/>
                <w:sz w:val="24"/>
                <w:szCs w:val="24"/>
              </w:rPr>
            </w:pPr>
          </w:p>
        </w:tc>
        <w:tc>
          <w:tcPr>
            <w:tcW w:w="662" w:type="dxa"/>
          </w:tcPr>
          <w:p>
            <w:pPr>
              <w:spacing w:line="500" w:lineRule="exact"/>
              <w:jc w:val="left"/>
              <w:rPr>
                <w:rFonts w:hint="default" w:ascii="Times New Roman" w:hAnsi="Times New Roman" w:cs="Times New Roman"/>
                <w:sz w:val="24"/>
                <w:szCs w:val="24"/>
              </w:rPr>
            </w:pPr>
          </w:p>
        </w:tc>
        <w:tc>
          <w:tcPr>
            <w:tcW w:w="1072" w:type="dxa"/>
          </w:tcPr>
          <w:p>
            <w:pPr>
              <w:spacing w:line="500" w:lineRule="exact"/>
              <w:jc w:val="left"/>
              <w:rPr>
                <w:rFonts w:hint="default" w:ascii="Times New Roman" w:hAnsi="Times New Roman" w:cs="Times New Roman"/>
                <w:sz w:val="24"/>
                <w:szCs w:val="24"/>
              </w:rPr>
            </w:pPr>
          </w:p>
        </w:tc>
        <w:tc>
          <w:tcPr>
            <w:tcW w:w="1869" w:type="dxa"/>
          </w:tcPr>
          <w:p>
            <w:pPr>
              <w:spacing w:line="500" w:lineRule="exact"/>
              <w:jc w:val="left"/>
              <w:rPr>
                <w:rFonts w:hint="default" w:ascii="Times New Roman" w:hAnsi="Times New Roman" w:cs="Times New Roman"/>
                <w:sz w:val="24"/>
                <w:szCs w:val="24"/>
              </w:rPr>
            </w:pPr>
          </w:p>
        </w:tc>
        <w:tc>
          <w:tcPr>
            <w:tcW w:w="1068" w:type="dxa"/>
          </w:tcPr>
          <w:p>
            <w:pPr>
              <w:spacing w:line="500" w:lineRule="exact"/>
              <w:jc w:val="left"/>
              <w:rPr>
                <w:rFonts w:hint="default" w:ascii="Times New Roman" w:hAnsi="Times New Roman" w:cs="Times New Roman"/>
                <w:sz w:val="24"/>
                <w:szCs w:val="24"/>
              </w:rPr>
            </w:pPr>
          </w:p>
        </w:tc>
        <w:tc>
          <w:tcPr>
            <w:tcW w:w="1334" w:type="dxa"/>
          </w:tcPr>
          <w:p>
            <w:pPr>
              <w:spacing w:line="500" w:lineRule="exact"/>
              <w:jc w:val="left"/>
              <w:rPr>
                <w:rFonts w:hint="default" w:ascii="Times New Roman" w:hAnsi="Times New Roman" w:cs="Times New Roman"/>
                <w:sz w:val="24"/>
                <w:szCs w:val="24"/>
              </w:rPr>
            </w:pPr>
          </w:p>
        </w:tc>
        <w:tc>
          <w:tcPr>
            <w:tcW w:w="1468" w:type="dxa"/>
          </w:tcPr>
          <w:p>
            <w:pPr>
              <w:spacing w:line="500" w:lineRule="exact"/>
              <w:jc w:val="left"/>
              <w:rPr>
                <w:rFonts w:hint="default" w:ascii="Times New Roman" w:hAnsi="Times New Roman" w:cs="Times New Roman"/>
                <w:sz w:val="24"/>
                <w:szCs w:val="24"/>
              </w:rPr>
            </w:pPr>
          </w:p>
        </w:tc>
        <w:tc>
          <w:tcPr>
            <w:tcW w:w="667" w:type="dxa"/>
          </w:tcPr>
          <w:p>
            <w:pPr>
              <w:spacing w:line="500" w:lineRule="exact"/>
              <w:jc w:val="left"/>
              <w:rPr>
                <w:rFonts w:hint="default" w:ascii="Times New Roman" w:hAnsi="Times New Roman" w:cs="Times New Roman"/>
                <w:sz w:val="24"/>
                <w:szCs w:val="24"/>
              </w:rPr>
            </w:pPr>
          </w:p>
        </w:tc>
        <w:tc>
          <w:tcPr>
            <w:tcW w:w="1336"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850"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1276" w:type="dxa"/>
          </w:tcPr>
          <w:p>
            <w:pPr>
              <w:spacing w:line="500" w:lineRule="exact"/>
              <w:jc w:val="left"/>
              <w:rPr>
                <w:rFonts w:hint="default" w:ascii="Times New Roman" w:hAnsi="Times New Roman" w:cs="Times New Roman"/>
                <w:sz w:val="24"/>
                <w:szCs w:val="24"/>
              </w:rPr>
            </w:pPr>
          </w:p>
        </w:tc>
        <w:tc>
          <w:tcPr>
            <w:tcW w:w="850" w:type="dxa"/>
          </w:tcPr>
          <w:p>
            <w:pPr>
              <w:spacing w:line="500" w:lineRule="exact"/>
              <w:jc w:val="left"/>
              <w:rPr>
                <w:rFonts w:hint="default" w:ascii="Times New Roman" w:hAnsi="Times New Roman" w:cs="Times New Roman"/>
                <w:sz w:val="24"/>
                <w:szCs w:val="24"/>
              </w:rPr>
            </w:pPr>
          </w:p>
        </w:tc>
      </w:tr>
    </w:tbl>
    <w:p>
      <w:pPr>
        <w:spacing w:line="500" w:lineRule="exact"/>
        <w:ind w:left="843" w:hanging="840" w:hangingChars="350"/>
        <w:jc w:val="left"/>
        <w:rPr>
          <w:rFonts w:hint="eastAsia" w:ascii="方正楷体_GBK" w:hAnsi="方正楷体_GBK" w:eastAsia="方正楷体_GBK" w:cs="方正楷体_GBK"/>
          <w:b w:val="0"/>
          <w:bCs w:val="0"/>
          <w:sz w:val="24"/>
          <w:szCs w:val="24"/>
        </w:rPr>
      </w:pPr>
      <w:r>
        <w:rPr>
          <w:rFonts w:hint="eastAsia" w:ascii="方正楷体_GBK" w:hAnsi="方正楷体_GBK" w:eastAsia="方正楷体_GBK" w:cs="方正楷体_GBK"/>
          <w:b w:val="0"/>
          <w:bCs w:val="0"/>
          <w:sz w:val="24"/>
          <w:szCs w:val="24"/>
        </w:rPr>
        <w:t>地址：重庆市渝北区春华大道99号人力资源产业园高层次人才一站式服务平台，邮编：401120；</w:t>
      </w:r>
    </w:p>
    <w:p>
      <w:pPr>
        <w:spacing w:line="500" w:lineRule="exact"/>
        <w:ind w:left="1120" w:hanging="1120" w:hangingChars="350"/>
        <w:jc w:val="left"/>
        <w:rPr>
          <w:rFonts w:hint="eastAsia" w:ascii="方正楷体_GBK" w:hAnsi="方正楷体_GBK" w:eastAsia="方正楷体_GBK" w:cs="方正楷体_GBK"/>
          <w:b w:val="0"/>
          <w:bCs w:val="0"/>
          <w:sz w:val="24"/>
          <w:szCs w:val="24"/>
        </w:rPr>
      </w:pPr>
      <w:r>
        <w:rPr>
          <w:rFonts w:hint="eastAsia" w:ascii="方正楷体_GBK" w:hAnsi="方正楷体_GBK" w:eastAsia="方正楷体_GBK" w:cs="方正楷体_GBK"/>
          <w:b w:val="0"/>
          <w:bCs w:val="0"/>
        </w:rPr>
        <w:fldChar w:fldCharType="begin"/>
      </w:r>
      <w:r>
        <w:rPr>
          <w:rFonts w:hint="eastAsia" w:ascii="方正楷体_GBK" w:hAnsi="方正楷体_GBK" w:eastAsia="方正楷体_GBK" w:cs="方正楷体_GBK"/>
          <w:b w:val="0"/>
          <w:bCs w:val="0"/>
        </w:rPr>
        <w:instrText xml:space="preserve"> HYPERLINK "mailto:cqrcgfb@163.com，联系电话：023-22812062" </w:instrText>
      </w:r>
      <w:r>
        <w:rPr>
          <w:rFonts w:hint="eastAsia" w:ascii="方正楷体_GBK" w:hAnsi="方正楷体_GBK" w:eastAsia="方正楷体_GBK" w:cs="方正楷体_GBK"/>
          <w:b w:val="0"/>
          <w:bCs w:val="0"/>
        </w:rPr>
        <w:fldChar w:fldCharType="separate"/>
      </w:r>
      <w:r>
        <w:rPr>
          <w:rFonts w:hint="eastAsia" w:ascii="方正楷体_GBK" w:hAnsi="方正楷体_GBK" w:eastAsia="方正楷体_GBK" w:cs="方正楷体_GBK"/>
          <w:b w:val="0"/>
          <w:bCs w:val="0"/>
          <w:sz w:val="24"/>
          <w:szCs w:val="24"/>
        </w:rPr>
        <w:t>联系电话：023-88212062</w:t>
      </w:r>
      <w:r>
        <w:rPr>
          <w:rFonts w:hint="eastAsia" w:ascii="方正楷体_GBK" w:hAnsi="方正楷体_GBK" w:eastAsia="方正楷体_GBK" w:cs="方正楷体_GBK"/>
          <w:b w:val="0"/>
          <w:bCs w:val="0"/>
          <w:sz w:val="24"/>
          <w:szCs w:val="24"/>
        </w:rPr>
        <w:fldChar w:fldCharType="end"/>
      </w:r>
      <w:r>
        <w:rPr>
          <w:rFonts w:hint="eastAsia" w:ascii="方正楷体_GBK" w:hAnsi="方正楷体_GBK" w:eastAsia="方正楷体_GBK" w:cs="方正楷体_GBK"/>
          <w:b w:val="0"/>
          <w:bCs w:val="0"/>
          <w:sz w:val="24"/>
          <w:szCs w:val="24"/>
        </w:rPr>
        <w:t>、88723762；</w:t>
      </w:r>
    </w:p>
    <w:p>
      <w:pPr>
        <w:spacing w:line="500" w:lineRule="exact"/>
        <w:jc w:val="left"/>
        <w:rPr>
          <w:rFonts w:hint="eastAsia" w:ascii="方正楷体_GBK" w:hAnsi="方正楷体_GBK" w:eastAsia="方正楷体_GBK" w:cs="方正楷体_GBK"/>
          <w:b w:val="0"/>
          <w:bCs w:val="0"/>
          <w:sz w:val="24"/>
          <w:szCs w:val="24"/>
        </w:rPr>
        <w:sectPr>
          <w:pgSz w:w="16838" w:h="11906" w:orient="landscape"/>
          <w:pgMar w:top="1797" w:right="1440" w:bottom="1797" w:left="1440" w:header="851" w:footer="992" w:gutter="0"/>
          <w:cols w:space="425" w:num="1"/>
          <w:docGrid w:type="linesAndChars" w:linePitch="435" w:charSpace="0"/>
        </w:sectPr>
      </w:pPr>
      <w:r>
        <w:rPr>
          <w:rFonts w:hint="eastAsia" w:ascii="方正楷体_GBK" w:hAnsi="方正楷体_GBK" w:eastAsia="方正楷体_GBK" w:cs="方正楷体_GBK"/>
          <w:b w:val="0"/>
          <w:bCs w:val="0"/>
          <w:sz w:val="24"/>
          <w:szCs w:val="24"/>
        </w:rPr>
        <w:t>注：此表由市高层次人才“一站式”服务平台填写并反馈至重庆银行。</w:t>
      </w:r>
    </w:p>
    <w:p>
      <w:pPr>
        <w:widowControl/>
        <w:jc w:val="left"/>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附件4</w:t>
      </w:r>
    </w:p>
    <w:p>
      <w:pPr>
        <w:widowControl/>
        <w:adjustRightInd w:val="0"/>
        <w:snapToGrid w:val="0"/>
        <w:jc w:val="center"/>
        <w:rPr>
          <w:rFonts w:hint="default" w:ascii="Times New Roman" w:hAnsi="Times New Roman" w:eastAsia="方正小标宋_GBK" w:cs="Times New Roman"/>
          <w:kern w:val="0"/>
          <w:szCs w:val="32"/>
        </w:rPr>
      </w:pPr>
      <w:r>
        <w:rPr>
          <w:rFonts w:hint="default" w:ascii="Times New Roman" w:hAnsi="Times New Roman" w:eastAsia="方正小标宋_GBK" w:cs="Times New Roman"/>
          <w:sz w:val="44"/>
          <w:szCs w:val="44"/>
        </w:rPr>
        <w:t>重庆银行网点一览表</w:t>
      </w:r>
    </w:p>
    <w:tbl>
      <w:tblPr>
        <w:tblStyle w:val="8"/>
        <w:tblW w:w="9729" w:type="dxa"/>
        <w:tblInd w:w="-4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8"/>
        <w:gridCol w:w="1189"/>
        <w:gridCol w:w="3777"/>
        <w:gridCol w:w="42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528" w:type="dxa"/>
            <w:vMerge w:val="restart"/>
            <w:vAlign w:val="center"/>
          </w:tcPr>
          <w:p>
            <w:pPr>
              <w:widowControl/>
              <w:spacing w:line="300" w:lineRule="exact"/>
              <w:jc w:val="center"/>
              <w:rPr>
                <w:rFonts w:hint="default" w:ascii="Times New Roman" w:hAnsi="Times New Roman" w:cs="Times New Roman"/>
                <w:b/>
                <w:bCs/>
                <w:kern w:val="0"/>
                <w:sz w:val="24"/>
                <w:szCs w:val="24"/>
              </w:rPr>
            </w:pPr>
            <w:r>
              <w:rPr>
                <w:rFonts w:hint="default" w:ascii="Times New Roman" w:hAnsi="Times New Roman" w:cs="Times New Roman"/>
                <w:b/>
                <w:bCs/>
                <w:kern w:val="0"/>
                <w:sz w:val="24"/>
                <w:szCs w:val="24"/>
              </w:rPr>
              <w:t>序号</w:t>
            </w:r>
          </w:p>
        </w:tc>
        <w:tc>
          <w:tcPr>
            <w:tcW w:w="1189" w:type="dxa"/>
            <w:vMerge w:val="restart"/>
            <w:vAlign w:val="center"/>
          </w:tcPr>
          <w:p>
            <w:pPr>
              <w:widowControl/>
              <w:spacing w:line="300" w:lineRule="exact"/>
              <w:jc w:val="center"/>
              <w:rPr>
                <w:rFonts w:hint="default" w:ascii="Times New Roman" w:hAnsi="Times New Roman" w:cs="Times New Roman"/>
                <w:b/>
                <w:bCs/>
                <w:kern w:val="0"/>
                <w:sz w:val="24"/>
                <w:szCs w:val="24"/>
              </w:rPr>
            </w:pPr>
            <w:r>
              <w:rPr>
                <w:rFonts w:hint="default" w:ascii="Times New Roman" w:hAnsi="Times New Roman" w:cs="Times New Roman"/>
                <w:b/>
                <w:bCs/>
                <w:kern w:val="0"/>
                <w:sz w:val="24"/>
                <w:szCs w:val="24"/>
              </w:rPr>
              <w:t>区 域</w:t>
            </w:r>
          </w:p>
        </w:tc>
        <w:tc>
          <w:tcPr>
            <w:tcW w:w="3777" w:type="dxa"/>
            <w:vMerge w:val="restart"/>
            <w:vAlign w:val="center"/>
          </w:tcPr>
          <w:p>
            <w:pPr>
              <w:widowControl/>
              <w:spacing w:line="300" w:lineRule="exact"/>
              <w:jc w:val="center"/>
              <w:rPr>
                <w:rFonts w:hint="default" w:ascii="Times New Roman" w:hAnsi="Times New Roman" w:cs="Times New Roman"/>
                <w:b/>
                <w:bCs/>
                <w:kern w:val="0"/>
                <w:sz w:val="24"/>
                <w:szCs w:val="24"/>
              </w:rPr>
            </w:pPr>
            <w:r>
              <w:rPr>
                <w:rFonts w:hint="default" w:ascii="Times New Roman" w:hAnsi="Times New Roman" w:cs="Times New Roman"/>
                <w:b/>
                <w:bCs/>
                <w:kern w:val="0"/>
                <w:sz w:val="24"/>
                <w:szCs w:val="24"/>
              </w:rPr>
              <w:t>网点名称</w:t>
            </w:r>
          </w:p>
        </w:tc>
        <w:tc>
          <w:tcPr>
            <w:tcW w:w="4235" w:type="dxa"/>
            <w:vMerge w:val="restart"/>
            <w:vAlign w:val="center"/>
          </w:tcPr>
          <w:p>
            <w:pPr>
              <w:widowControl/>
              <w:spacing w:line="300" w:lineRule="exact"/>
              <w:jc w:val="center"/>
              <w:rPr>
                <w:rFonts w:hint="default" w:ascii="Times New Roman" w:hAnsi="Times New Roman" w:cs="Times New Roman"/>
                <w:b/>
                <w:bCs/>
                <w:kern w:val="0"/>
                <w:sz w:val="24"/>
                <w:szCs w:val="24"/>
              </w:rPr>
            </w:pPr>
            <w:r>
              <w:rPr>
                <w:rFonts w:hint="default" w:ascii="Times New Roman" w:hAnsi="Times New Roman" w:cs="Times New Roman"/>
                <w:b/>
                <w:bCs/>
                <w:kern w:val="0"/>
                <w:sz w:val="24"/>
                <w:szCs w:val="24"/>
              </w:rPr>
              <w:t>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1" w:hRule="exact"/>
        </w:trPr>
        <w:tc>
          <w:tcPr>
            <w:tcW w:w="528" w:type="dxa"/>
            <w:vMerge w:val="continue"/>
            <w:vAlign w:val="center"/>
          </w:tcPr>
          <w:p>
            <w:pPr>
              <w:widowControl/>
              <w:spacing w:line="300" w:lineRule="exact"/>
              <w:jc w:val="center"/>
              <w:rPr>
                <w:rFonts w:hint="default" w:ascii="Times New Roman" w:hAnsi="Times New Roman" w:cs="Times New Roman"/>
                <w:b/>
                <w:bCs/>
                <w:kern w:val="0"/>
                <w:sz w:val="24"/>
                <w:szCs w:val="24"/>
              </w:rPr>
            </w:pPr>
          </w:p>
        </w:tc>
        <w:tc>
          <w:tcPr>
            <w:tcW w:w="1189" w:type="dxa"/>
            <w:vMerge w:val="continue"/>
            <w:vAlign w:val="center"/>
          </w:tcPr>
          <w:p>
            <w:pPr>
              <w:widowControl/>
              <w:spacing w:line="300" w:lineRule="exact"/>
              <w:jc w:val="center"/>
              <w:rPr>
                <w:rFonts w:hint="default" w:ascii="Times New Roman" w:hAnsi="Times New Roman" w:cs="Times New Roman"/>
                <w:b/>
                <w:bCs/>
                <w:kern w:val="0"/>
                <w:sz w:val="24"/>
                <w:szCs w:val="24"/>
              </w:rPr>
            </w:pPr>
          </w:p>
        </w:tc>
        <w:tc>
          <w:tcPr>
            <w:tcW w:w="3777" w:type="dxa"/>
            <w:vMerge w:val="continue"/>
            <w:vAlign w:val="center"/>
          </w:tcPr>
          <w:p>
            <w:pPr>
              <w:widowControl/>
              <w:spacing w:line="300" w:lineRule="exact"/>
              <w:jc w:val="center"/>
              <w:rPr>
                <w:rFonts w:hint="default" w:ascii="Times New Roman" w:hAnsi="Times New Roman" w:cs="Times New Roman"/>
                <w:b/>
                <w:bCs/>
                <w:kern w:val="0"/>
                <w:sz w:val="24"/>
                <w:szCs w:val="24"/>
              </w:rPr>
            </w:pPr>
          </w:p>
        </w:tc>
        <w:tc>
          <w:tcPr>
            <w:tcW w:w="4235" w:type="dxa"/>
            <w:vMerge w:val="continue"/>
            <w:vAlign w:val="center"/>
          </w:tcPr>
          <w:p>
            <w:pPr>
              <w:widowControl/>
              <w:spacing w:line="300" w:lineRule="exact"/>
              <w:jc w:val="center"/>
              <w:rPr>
                <w:rFonts w:hint="default" w:ascii="Times New Roman" w:hAnsi="Times New Roman" w:cs="Times New Roman"/>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8" w:hRule="exact"/>
        </w:trPr>
        <w:tc>
          <w:tcPr>
            <w:tcW w:w="528" w:type="dxa"/>
            <w:vAlign w:val="center"/>
          </w:tcPr>
          <w:p>
            <w:pPr>
              <w:widowControl/>
              <w:spacing w:line="300" w:lineRule="exact"/>
              <w:jc w:val="center"/>
              <w:rPr>
                <w:rFonts w:hint="default" w:ascii="Times New Roman" w:hAnsi="Times New Roman" w:cs="Times New Roman"/>
                <w:b/>
                <w:bCs/>
                <w:kern w:val="0"/>
                <w:sz w:val="24"/>
                <w:szCs w:val="24"/>
              </w:rPr>
            </w:pPr>
            <w:r>
              <w:rPr>
                <w:rFonts w:hint="default" w:ascii="Times New Roman" w:hAnsi="Times New Roman" w:cs="Times New Roman"/>
                <w:kern w:val="0"/>
                <w:sz w:val="24"/>
                <w:szCs w:val="24"/>
              </w:rPr>
              <w:t>1</w:t>
            </w:r>
          </w:p>
        </w:tc>
        <w:tc>
          <w:tcPr>
            <w:tcW w:w="1189" w:type="dxa"/>
            <w:vAlign w:val="center"/>
          </w:tcPr>
          <w:p>
            <w:pPr>
              <w:widowControl/>
              <w:spacing w:line="300" w:lineRule="exact"/>
              <w:jc w:val="center"/>
              <w:rPr>
                <w:rFonts w:hint="default" w:ascii="Times New Roman" w:hAnsi="Times New Roman" w:cs="Times New Roman"/>
                <w:b/>
                <w:bCs/>
                <w:kern w:val="0"/>
                <w:sz w:val="24"/>
                <w:szCs w:val="24"/>
              </w:rPr>
            </w:pPr>
            <w:r>
              <w:rPr>
                <w:rFonts w:hint="default" w:ascii="Times New Roman" w:hAnsi="Times New Roman" w:cs="Times New Roman"/>
                <w:kern w:val="0"/>
                <w:sz w:val="24"/>
                <w:szCs w:val="24"/>
              </w:rPr>
              <w:t>渝中区</w:t>
            </w:r>
          </w:p>
        </w:tc>
        <w:tc>
          <w:tcPr>
            <w:tcW w:w="3777" w:type="dxa"/>
            <w:vAlign w:val="center"/>
          </w:tcPr>
          <w:p>
            <w:pPr>
              <w:widowControl/>
              <w:spacing w:line="300" w:lineRule="exact"/>
              <w:jc w:val="center"/>
              <w:rPr>
                <w:rFonts w:hint="default" w:ascii="Times New Roman" w:hAnsi="Times New Roman" w:cs="Times New Roman"/>
                <w:b/>
                <w:bCs/>
                <w:kern w:val="0"/>
                <w:sz w:val="24"/>
                <w:szCs w:val="24"/>
              </w:rPr>
            </w:pPr>
            <w:r>
              <w:rPr>
                <w:rFonts w:hint="default" w:ascii="Times New Roman" w:hAnsi="Times New Roman" w:cs="Times New Roman"/>
                <w:kern w:val="0"/>
                <w:sz w:val="24"/>
                <w:szCs w:val="24"/>
              </w:rPr>
              <w:t>重庆银行股份有限公司文化宫支行（希尔顿酒店楼下）</w:t>
            </w:r>
          </w:p>
        </w:tc>
        <w:tc>
          <w:tcPr>
            <w:tcW w:w="4235" w:type="dxa"/>
            <w:vAlign w:val="center"/>
          </w:tcPr>
          <w:p>
            <w:pPr>
              <w:widowControl/>
              <w:spacing w:line="300" w:lineRule="exact"/>
              <w:jc w:val="center"/>
              <w:rPr>
                <w:rFonts w:hint="default" w:ascii="Times New Roman" w:hAnsi="Times New Roman" w:cs="Times New Roman"/>
                <w:b/>
                <w:bCs/>
                <w:kern w:val="0"/>
                <w:sz w:val="24"/>
                <w:szCs w:val="24"/>
              </w:rPr>
            </w:pPr>
            <w:r>
              <w:rPr>
                <w:rFonts w:hint="default" w:ascii="Times New Roman" w:hAnsi="Times New Roman" w:cs="Times New Roman"/>
                <w:kern w:val="0"/>
                <w:sz w:val="24"/>
                <w:szCs w:val="24"/>
              </w:rPr>
              <w:t>渝中区中山三路139号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2" w:hRule="exac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江北区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重庆银行股份有限公司营业部（华夏银行对面）</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江北区永平门街6号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2" w:hRule="exac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渝北区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重庆银行股份有限公司两江分行（软件园公交站旁）</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渝北区黄山大道中段52号渝兴广场B2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2" w:hRule="exac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4</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沙坪坝区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重庆银行股份有限公司大学城支行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沙坪坝区大学城虎溪镇大学城西路17号125-127号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5</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沙坪坝区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重庆银行股份有限公司重大支行（重大A区大门对面）</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沙坪坝区沙北街83号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7"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6</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九龙坡区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重庆银行股份有限公司杨家坪支行(商社电器旁边、国美对面)</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九龙坡区谢家湾劳动三村建业大厦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7"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7</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大渡口区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重庆银行股份有限公司大渡口支行（轻轨新山村站正对面）</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大渡口区翠柏路37号附18号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7"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8</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南岸区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重庆银行股份有限公司南坪支行（泰正花园的斜对面）</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南岸区南城大道199号1层2-2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7"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9</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巴南区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重庆银行股份有限公司巴南支行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巴南区龙州大道40号1-商铺13-20、2-商铺9-14、3-商铺6-12号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2"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10</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北碚区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重庆银行股份有限公司西南大学支行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北碚区石岗村18号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8"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11</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长寿区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重庆银行股份有限公司长寿支行(长寿区政府旁边）</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长寿区桃源西路10号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4"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12</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合川区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重庆银行股份有限公司合川支行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合川区南办处江城大道402号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13</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万州区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重庆银行股份有限公司万州支行（三峡茶庄旁）</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万州区白岩路193号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6"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14</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黔江区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重庆银行股份有限公司黔江支行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黔江区新华大道西段555号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15</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江津区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重庆银行股份有限公司江津支行（祥瑞财富中心）</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江津区祥瑞财富中心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16</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铜梁区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重庆银行股份有限公司铜梁支行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铜梁区巴川街道办事处解放东路2号、2号2-1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17</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永川区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重庆银行股份有限公司永川支行（崇尚百货旁）</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永川区人民南路78号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18</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梁平区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重庆银行股份有限公司梁平支行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梁平区双桂街道金桂路5号2幢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2"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19</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南川区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重庆银行股份有限公司南川支行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南川区隆化大道12号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20</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荣昌区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重庆银行股份有限公司荣昌支行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荣昌区昌州街道昌龙大道43号附2号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1"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21</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忠县区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重庆银行股份有限公司忠县支行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忠县忠州镇中博大道3号附1号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2"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22</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璧山区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重庆银行股份有限公司璧山支行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璧山区金剑路205号附3-5号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7"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23</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綦江区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重庆银行股份有限公司綦江支行（营盘山广场2级车站对面）</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綦江区文龙街道九龙大道47号荣润凯旋名城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4"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24</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秀山县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重庆银行股份有限公司秀山支行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秀山县中和镇凤翔路46号紫云大厦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98"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25</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开州区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重庆银行股份有限公司开州支行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开州区开州大道（中段）市民广场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26</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大足区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重庆银行股份有限公司大足支行（行政服务中心底楼，国土房管局一楼）</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大足区棠香街道五星大道257号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27</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潼南区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重庆银行股份有限公司潼南支行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潼南区桂林街道办事处兴潼大道86-92号第一层2号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28</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石柱县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重庆银行股份有限公司石柱支行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石柱县都督大道35号附26-30号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9"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29</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城口县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重庆银行股份有限公司城口支行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城口县葛城街道东大街18号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30</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丰都县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重庆银行股份有限公司丰都支行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丰都县三合街道平都大道西段186号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5"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31</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奉节县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重庆银行股份有限公司奉节支行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奉节县永安镇夔州路297号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32</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万盛</w:t>
            </w:r>
          </w:p>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经开区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重庆银行股份有限公司万盛支行（渝南明珠钟楼旁）</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万盛经开区万盛大道23号附1号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33</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垫江县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重庆银行股份有限公司垫江支行（盛世华都正门）</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垫江县桂溪镇凤山西路B5幢1单元1-1号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34</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云阳县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重庆银行股份有限公司云阳支行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云阳县双江镇云江大道1299号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5" w:hRule="atLeast"/>
        </w:trPr>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35</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巫溪县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重庆银行股份有限公司巫溪支行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巫溪县柏杨街道春申大道165号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36</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武隆区</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重庆银行股份有限公司武隆支行（武隆县财政局楼下）</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武隆区巷口镇芙蓉西路117号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37</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酉阳县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重庆银行股份有限公司酉阳支行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酉阳县桃花源大道中路101号汇升广场9号楼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38</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巫山县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重庆银行股份有限公司巫山支行</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巫山县高唐街道广东东路329号综合楼1-1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28"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39</w:t>
            </w:r>
          </w:p>
        </w:tc>
        <w:tc>
          <w:tcPr>
            <w:tcW w:w="11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彭水县</w:t>
            </w:r>
          </w:p>
        </w:tc>
        <w:tc>
          <w:tcPr>
            <w:tcW w:w="377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重庆银行股份有限公司彭水支行（乌江明珠大酒店一层）</w:t>
            </w:r>
          </w:p>
        </w:tc>
        <w:tc>
          <w:tcPr>
            <w:tcW w:w="4235"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彭水县绍庆街道南滨路乌江明珠酒店临街一层</w:t>
            </w:r>
          </w:p>
        </w:tc>
      </w:tr>
    </w:tbl>
    <w:p>
      <w:pPr>
        <w:widowControl/>
        <w:jc w:val="left"/>
        <w:rPr>
          <w:rFonts w:hint="default" w:ascii="Times New Roman" w:hAnsi="Times New Roman" w:eastAsia="黑体" w:cs="Times New Roman"/>
          <w:kern w:val="0"/>
          <w:szCs w:val="32"/>
        </w:rPr>
      </w:pPr>
    </w:p>
    <w:p>
      <w:pPr>
        <w:widowControl/>
        <w:jc w:val="left"/>
        <w:rPr>
          <w:rFonts w:hint="default" w:ascii="Times New Roman" w:hAnsi="Times New Roman" w:eastAsia="黑体" w:cs="Times New Roman"/>
          <w:kern w:val="0"/>
          <w:szCs w:val="32"/>
        </w:rPr>
      </w:pPr>
    </w:p>
    <w:p>
      <w:pPr>
        <w:widowControl/>
        <w:jc w:val="left"/>
        <w:rPr>
          <w:rFonts w:hint="default" w:ascii="Times New Roman" w:hAnsi="Times New Roman" w:eastAsia="方正黑体_GBK" w:cs="Times New Roman"/>
          <w:kern w:val="0"/>
          <w:szCs w:val="32"/>
        </w:rPr>
      </w:pPr>
      <w:r>
        <w:rPr>
          <w:rFonts w:hint="default" w:ascii="Times New Roman" w:hAnsi="Times New Roman" w:eastAsia="方正黑体_GBK" w:cs="Times New Roman"/>
          <w:kern w:val="0"/>
          <w:szCs w:val="32"/>
        </w:rPr>
        <w:t>附件5</w:t>
      </w:r>
    </w:p>
    <w:p>
      <w:pPr>
        <w:widowControl/>
        <w:spacing w:before="100" w:beforeAutospacing="1" w:after="100" w:afterAutospacing="1" w:line="240" w:lineRule="exact"/>
        <w:jc w:val="center"/>
        <w:rPr>
          <w:rFonts w:hint="default" w:ascii="Times New Roman" w:hAnsi="Times New Roman" w:eastAsia="方正小标宋_GBK" w:cs="Times New Roman"/>
          <w:sz w:val="44"/>
          <w:szCs w:val="44"/>
        </w:rPr>
      </w:pPr>
      <w:r>
        <w:rPr>
          <w:rFonts w:hint="default" w:ascii="Times New Roman" w:hAnsi="Times New Roman" w:eastAsia="方正小标宋_GBK" w:cs="Times New Roman"/>
          <w:sz w:val="44"/>
          <w:szCs w:val="44"/>
        </w:rPr>
        <w:t>重庆银行“人才贷”服务产品一览表</w:t>
      </w:r>
    </w:p>
    <w:tbl>
      <w:tblPr>
        <w:tblStyle w:val="8"/>
        <w:tblW w:w="925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9"/>
        <w:gridCol w:w="1457"/>
        <w:gridCol w:w="1910"/>
        <w:gridCol w:w="5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6" w:hRule="atLeast"/>
          <w:jc w:val="center"/>
        </w:trPr>
        <w:tc>
          <w:tcPr>
            <w:tcW w:w="689" w:type="dxa"/>
            <w:vAlign w:val="center"/>
          </w:tcPr>
          <w:p>
            <w:pPr>
              <w:widowControl/>
              <w:adjustRightInd w:val="0"/>
              <w:snapToGrid w:val="0"/>
              <w:jc w:val="center"/>
              <w:rPr>
                <w:rFonts w:hint="default" w:ascii="Times New Roman" w:hAnsi="Times New Roman" w:eastAsia="方正黑体_GBK" w:cs="Times New Roman"/>
                <w:kern w:val="0"/>
                <w:sz w:val="24"/>
                <w:szCs w:val="24"/>
              </w:rPr>
            </w:pPr>
            <w:r>
              <w:rPr>
                <w:rFonts w:hint="default" w:ascii="Times New Roman" w:hAnsi="Times New Roman" w:eastAsia="方正黑体_GBK" w:cs="Times New Roman"/>
                <w:kern w:val="0"/>
                <w:sz w:val="24"/>
                <w:szCs w:val="24"/>
              </w:rPr>
              <w:t>序号</w:t>
            </w:r>
          </w:p>
        </w:tc>
        <w:tc>
          <w:tcPr>
            <w:tcW w:w="1457" w:type="dxa"/>
            <w:vAlign w:val="center"/>
          </w:tcPr>
          <w:p>
            <w:pPr>
              <w:widowControl/>
              <w:adjustRightInd w:val="0"/>
              <w:snapToGrid w:val="0"/>
              <w:jc w:val="center"/>
              <w:rPr>
                <w:rFonts w:hint="default" w:ascii="Times New Roman" w:hAnsi="Times New Roman" w:eastAsia="方正黑体_GBK" w:cs="Times New Roman"/>
                <w:kern w:val="0"/>
                <w:sz w:val="24"/>
                <w:szCs w:val="24"/>
              </w:rPr>
            </w:pPr>
            <w:r>
              <w:rPr>
                <w:rFonts w:hint="default" w:ascii="Times New Roman" w:hAnsi="Times New Roman" w:eastAsia="方正黑体_GBK" w:cs="Times New Roman"/>
                <w:kern w:val="0"/>
                <w:sz w:val="24"/>
                <w:szCs w:val="24"/>
              </w:rPr>
              <w:t>“人才贷”服务</w:t>
            </w:r>
          </w:p>
        </w:tc>
        <w:tc>
          <w:tcPr>
            <w:tcW w:w="1910" w:type="dxa"/>
            <w:vAlign w:val="center"/>
          </w:tcPr>
          <w:p>
            <w:pPr>
              <w:widowControl/>
              <w:adjustRightInd w:val="0"/>
              <w:snapToGrid w:val="0"/>
              <w:jc w:val="center"/>
              <w:rPr>
                <w:rFonts w:hint="default" w:ascii="Times New Roman" w:hAnsi="Times New Roman" w:eastAsia="方正黑体_GBK" w:cs="Times New Roman"/>
                <w:kern w:val="0"/>
                <w:sz w:val="24"/>
                <w:szCs w:val="24"/>
              </w:rPr>
            </w:pPr>
            <w:r>
              <w:rPr>
                <w:rFonts w:hint="default" w:ascii="Times New Roman" w:hAnsi="Times New Roman" w:eastAsia="方正黑体_GBK" w:cs="Times New Roman"/>
                <w:kern w:val="0"/>
                <w:sz w:val="24"/>
                <w:szCs w:val="24"/>
              </w:rPr>
              <w:t>重庆银行</w:t>
            </w:r>
          </w:p>
          <w:p>
            <w:pPr>
              <w:widowControl/>
              <w:adjustRightInd w:val="0"/>
              <w:snapToGrid w:val="0"/>
              <w:jc w:val="center"/>
              <w:rPr>
                <w:rFonts w:hint="default" w:ascii="Times New Roman" w:hAnsi="Times New Roman" w:eastAsia="方正黑体_GBK" w:cs="Times New Roman"/>
                <w:kern w:val="0"/>
                <w:sz w:val="24"/>
                <w:szCs w:val="24"/>
              </w:rPr>
            </w:pPr>
            <w:r>
              <w:rPr>
                <w:rFonts w:hint="default" w:ascii="Times New Roman" w:hAnsi="Times New Roman" w:eastAsia="方正黑体_GBK" w:cs="Times New Roman"/>
                <w:kern w:val="0"/>
                <w:sz w:val="24"/>
                <w:szCs w:val="24"/>
              </w:rPr>
              <w:t>对应产品名称</w:t>
            </w:r>
          </w:p>
        </w:tc>
        <w:tc>
          <w:tcPr>
            <w:tcW w:w="5202" w:type="dxa"/>
            <w:vAlign w:val="center"/>
          </w:tcPr>
          <w:p>
            <w:pPr>
              <w:widowControl/>
              <w:adjustRightInd w:val="0"/>
              <w:snapToGrid w:val="0"/>
              <w:jc w:val="center"/>
              <w:rPr>
                <w:rFonts w:hint="default" w:ascii="Times New Roman" w:hAnsi="Times New Roman" w:eastAsia="方正黑体_GBK" w:cs="Times New Roman"/>
                <w:kern w:val="0"/>
                <w:sz w:val="24"/>
                <w:szCs w:val="24"/>
              </w:rPr>
            </w:pPr>
            <w:r>
              <w:rPr>
                <w:rFonts w:hint="default" w:ascii="Times New Roman" w:hAnsi="Times New Roman" w:eastAsia="方正黑体_GBK" w:cs="Times New Roman"/>
                <w:kern w:val="0"/>
                <w:sz w:val="24"/>
                <w:szCs w:val="24"/>
              </w:rPr>
              <w:t>产品内容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88" w:hRule="atLeast"/>
          <w:jc w:val="center"/>
        </w:trPr>
        <w:tc>
          <w:tcPr>
            <w:tcW w:w="689"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1</w:t>
            </w:r>
          </w:p>
        </w:tc>
        <w:tc>
          <w:tcPr>
            <w:tcW w:w="1457"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人才信用贷</w:t>
            </w:r>
          </w:p>
        </w:tc>
        <w:tc>
          <w:tcPr>
            <w:tcW w:w="1910"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人才贷</w:t>
            </w:r>
          </w:p>
        </w:tc>
        <w:tc>
          <w:tcPr>
            <w:tcW w:w="5202" w:type="dxa"/>
          </w:tcPr>
          <w:p>
            <w:pPr>
              <w:widowControl/>
              <w:adjustRightInd w:val="0"/>
              <w:snapToGrid w:val="0"/>
              <w:jc w:val="left"/>
              <w:rPr>
                <w:rFonts w:hint="default" w:ascii="Times New Roman" w:hAnsi="Times New Roman" w:cs="Times New Roman"/>
                <w:kern w:val="0"/>
                <w:sz w:val="24"/>
                <w:szCs w:val="24"/>
              </w:rPr>
            </w:pPr>
            <w:r>
              <w:rPr>
                <w:rFonts w:hint="default" w:ascii="Times New Roman" w:hAnsi="Times New Roman" w:cs="Times New Roman"/>
                <w:kern w:val="0"/>
                <w:sz w:val="24"/>
                <w:szCs w:val="24"/>
              </w:rPr>
              <w:t>“英才卡”持卡人可享受免抵押、免担保贷款（发卡行关系人及关联方除外），用于满足消费需求，贷款额度循环使用，随借随还。贷款最低可执行基准利率，最长期限1年，最高额度100万元。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20" w:hRule="atLeast"/>
          <w:jc w:val="center"/>
        </w:trPr>
        <w:tc>
          <w:tcPr>
            <w:tcW w:w="689"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2</w:t>
            </w:r>
          </w:p>
        </w:tc>
        <w:tc>
          <w:tcPr>
            <w:tcW w:w="1457"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知识价值信用贷</w:t>
            </w:r>
          </w:p>
        </w:tc>
        <w:tc>
          <w:tcPr>
            <w:tcW w:w="1910"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“科创未来”知识价值信用贷</w:t>
            </w:r>
          </w:p>
        </w:tc>
        <w:tc>
          <w:tcPr>
            <w:tcW w:w="5202" w:type="dxa"/>
          </w:tcPr>
          <w:p>
            <w:pPr>
              <w:widowControl/>
              <w:adjustRightInd w:val="0"/>
              <w:snapToGrid w:val="0"/>
              <w:jc w:val="left"/>
              <w:rPr>
                <w:rFonts w:hint="default" w:ascii="Times New Roman" w:hAnsi="Times New Roman" w:cs="Times New Roman"/>
                <w:kern w:val="0"/>
                <w:sz w:val="24"/>
                <w:szCs w:val="24"/>
              </w:rPr>
            </w:pPr>
            <w:r>
              <w:rPr>
                <w:rFonts w:hint="default" w:ascii="Times New Roman" w:hAnsi="Times New Roman" w:cs="Times New Roman"/>
                <w:kern w:val="0"/>
                <w:sz w:val="24"/>
                <w:szCs w:val="24"/>
              </w:rPr>
              <w:t>对成立科技型企业并纳入科技型企业成长库、取得市科委知识价值信用额度的“英才卡”持卡人，可申请无须提供抵押物的知识价值信用贷款。贷款执行同期同档次基准利率，最高额度500万元。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9"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3</w:t>
            </w:r>
          </w:p>
        </w:tc>
        <w:tc>
          <w:tcPr>
            <w:tcW w:w="1457"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人才创业贷</w:t>
            </w:r>
          </w:p>
        </w:tc>
        <w:tc>
          <w:tcPr>
            <w:tcW w:w="1910"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好企税信贷</w:t>
            </w:r>
          </w:p>
        </w:tc>
        <w:tc>
          <w:tcPr>
            <w:tcW w:w="5202" w:type="dxa"/>
          </w:tcPr>
          <w:p>
            <w:pPr>
              <w:widowControl/>
              <w:adjustRightInd w:val="0"/>
              <w:snapToGrid w:val="0"/>
              <w:jc w:val="left"/>
              <w:rPr>
                <w:rFonts w:hint="default" w:ascii="Times New Roman" w:hAnsi="Times New Roman" w:cs="Times New Roman"/>
                <w:kern w:val="0"/>
                <w:sz w:val="24"/>
                <w:szCs w:val="24"/>
              </w:rPr>
            </w:pPr>
            <w:r>
              <w:rPr>
                <w:rFonts w:hint="default" w:ascii="Times New Roman" w:hAnsi="Times New Roman" w:cs="Times New Roman"/>
                <w:kern w:val="0"/>
                <w:sz w:val="24"/>
                <w:szCs w:val="24"/>
              </w:rPr>
              <w:t>对在渝创办企业的高层次人才，凭“英才卡”可在线申请用于生产经营周转的信用贷款。贷款基于税务数据场景，免抵押、无担保，手机APP自助办理，先息后本，最高额度100万。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9"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4</w:t>
            </w:r>
          </w:p>
        </w:tc>
        <w:tc>
          <w:tcPr>
            <w:tcW w:w="1457"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房产抵押贷</w:t>
            </w:r>
          </w:p>
        </w:tc>
        <w:tc>
          <w:tcPr>
            <w:tcW w:w="1910"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“启动力”系列贷款</w:t>
            </w:r>
          </w:p>
        </w:tc>
        <w:tc>
          <w:tcPr>
            <w:tcW w:w="5202" w:type="dxa"/>
          </w:tcPr>
          <w:p>
            <w:pPr>
              <w:widowControl/>
              <w:adjustRightInd w:val="0"/>
              <w:snapToGrid w:val="0"/>
              <w:jc w:val="left"/>
              <w:rPr>
                <w:rFonts w:hint="default" w:ascii="Times New Roman" w:hAnsi="Times New Roman" w:cs="Times New Roman"/>
                <w:kern w:val="0"/>
                <w:sz w:val="24"/>
                <w:szCs w:val="24"/>
              </w:rPr>
            </w:pPr>
            <w:r>
              <w:rPr>
                <w:rFonts w:hint="default" w:ascii="Times New Roman" w:hAnsi="Times New Roman" w:cs="Times New Roman"/>
                <w:kern w:val="0"/>
                <w:sz w:val="24"/>
                <w:szCs w:val="24"/>
              </w:rPr>
              <w:t>对在渝创办企业的高层次人才，凭“英才卡”可申请以房产抵押为担保方式的个人经营性贷款。抵押房产类型不限，审查审批最快1日完成、3日放款。贷款金融最高可达抵押物评估净值的110%，期限最长10年，最高额度500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9"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5</w:t>
            </w:r>
          </w:p>
        </w:tc>
        <w:tc>
          <w:tcPr>
            <w:tcW w:w="1457"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流动资金贷</w:t>
            </w:r>
          </w:p>
        </w:tc>
        <w:tc>
          <w:tcPr>
            <w:tcW w:w="1910"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年审贷</w:t>
            </w:r>
          </w:p>
        </w:tc>
        <w:tc>
          <w:tcPr>
            <w:tcW w:w="5202" w:type="dxa"/>
          </w:tcPr>
          <w:p>
            <w:pPr>
              <w:widowControl/>
              <w:adjustRightInd w:val="0"/>
              <w:snapToGrid w:val="0"/>
              <w:jc w:val="left"/>
              <w:rPr>
                <w:rFonts w:hint="default" w:ascii="Times New Roman" w:hAnsi="Times New Roman" w:cs="Times New Roman"/>
                <w:kern w:val="0"/>
                <w:sz w:val="24"/>
                <w:szCs w:val="24"/>
              </w:rPr>
            </w:pPr>
            <w:r>
              <w:rPr>
                <w:rFonts w:hint="default" w:ascii="Times New Roman" w:hAnsi="Times New Roman" w:cs="Times New Roman"/>
                <w:kern w:val="0"/>
                <w:sz w:val="24"/>
                <w:szCs w:val="24"/>
              </w:rPr>
              <w:t>对在渝创办企业的高层次人才，凭“英才卡”可申请流动资金贷款。贷款期限最长三年，无需每年还本转贷，三年到期一次性归还本金，最高额度2000万元。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9"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6</w:t>
            </w:r>
          </w:p>
        </w:tc>
        <w:tc>
          <w:tcPr>
            <w:tcW w:w="1457" w:type="dxa"/>
            <w:vAlign w:val="center"/>
          </w:tcPr>
          <w:p>
            <w:pPr>
              <w:widowControl/>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工业用房按揭贷</w:t>
            </w:r>
          </w:p>
        </w:tc>
        <w:tc>
          <w:tcPr>
            <w:tcW w:w="1910" w:type="dxa"/>
            <w:vAlign w:val="center"/>
          </w:tcPr>
          <w:p>
            <w:pPr>
              <w:widowControl/>
              <w:adjustRightInd w:val="0"/>
              <w:snapToGrid w:val="0"/>
              <w:jc w:val="center"/>
              <w:rPr>
                <w:rFonts w:hint="default" w:ascii="Times New Roman" w:hAnsi="Times New Roman" w:cs="Times New Roman"/>
                <w:kern w:val="0"/>
                <w:sz w:val="24"/>
                <w:szCs w:val="24"/>
              </w:rPr>
            </w:pPr>
            <w:r>
              <w:rPr>
                <w:rFonts w:hint="default" w:ascii="Times New Roman" w:hAnsi="Times New Roman" w:cs="Times New Roman"/>
                <w:kern w:val="0"/>
                <w:sz w:val="24"/>
                <w:szCs w:val="24"/>
              </w:rPr>
              <w:t>工业用房按揭贷款</w:t>
            </w:r>
          </w:p>
        </w:tc>
        <w:tc>
          <w:tcPr>
            <w:tcW w:w="5202" w:type="dxa"/>
          </w:tcPr>
          <w:p>
            <w:pPr>
              <w:widowControl/>
              <w:adjustRightInd w:val="0"/>
              <w:snapToGrid w:val="0"/>
              <w:jc w:val="left"/>
              <w:rPr>
                <w:rFonts w:hint="default" w:ascii="Times New Roman" w:hAnsi="Times New Roman" w:cs="Times New Roman"/>
                <w:kern w:val="0"/>
                <w:sz w:val="24"/>
                <w:szCs w:val="24"/>
              </w:rPr>
            </w:pPr>
            <w:r>
              <w:rPr>
                <w:rFonts w:hint="default" w:ascii="Times New Roman" w:hAnsi="Times New Roman" w:cs="Times New Roman"/>
                <w:kern w:val="0"/>
                <w:sz w:val="24"/>
                <w:szCs w:val="24"/>
              </w:rPr>
              <w:t>对在渝创办企业的高层次人才，凭“英才卡”可申请用于企业购买自用工业用房的贷款。贷款采取按揭还款方式，按月等额本金或等额本息还款，期限最长5年，最高额度2000万元。</w:t>
            </w:r>
          </w:p>
        </w:tc>
      </w:tr>
    </w:tbl>
    <w:p>
      <w:pPr>
        <w:widowControl/>
        <w:jc w:val="left"/>
        <w:rPr>
          <w:rFonts w:hint="eastAsia" w:ascii="方正楷体_GBK" w:hAnsi="方正楷体_GBK" w:eastAsia="方正楷体_GBK" w:cs="方正楷体_GBK"/>
          <w:kern w:val="0"/>
          <w:sz w:val="24"/>
          <w:szCs w:val="24"/>
        </w:rPr>
      </w:pPr>
      <w:r>
        <w:rPr>
          <w:rFonts w:hint="eastAsia" w:ascii="方正楷体_GBK" w:hAnsi="方正楷体_GBK" w:eastAsia="方正楷体_GBK" w:cs="方正楷体_GBK"/>
          <w:kern w:val="0"/>
          <w:sz w:val="24"/>
          <w:szCs w:val="24"/>
        </w:rPr>
        <w:t>注：1.“贷款期限最长一年，且不得超过人才证到期日，建议人才证到期前半年申请延期。”</w:t>
      </w:r>
    </w:p>
    <w:p>
      <w:pPr>
        <w:widowControl/>
        <w:ind w:firstLine="480" w:firstLineChars="200"/>
        <w:jc w:val="left"/>
        <w:rPr>
          <w:rFonts w:hint="default" w:ascii="Times New Roman" w:hAnsi="Times New Roman" w:cs="Times New Roman"/>
          <w:kern w:val="0"/>
          <w:sz w:val="24"/>
          <w:szCs w:val="24"/>
        </w:rPr>
      </w:pPr>
      <w:r>
        <w:rPr>
          <w:rFonts w:hint="eastAsia" w:ascii="方正楷体_GBK" w:hAnsi="方正楷体_GBK" w:eastAsia="方正楷体_GBK" w:cs="方正楷体_GBK"/>
          <w:kern w:val="0"/>
          <w:sz w:val="24"/>
          <w:szCs w:val="24"/>
          <w:lang w:val="en-US" w:eastAsia="zh-CN"/>
        </w:rPr>
        <w:t>2.</w:t>
      </w:r>
      <w:r>
        <w:rPr>
          <w:rFonts w:hint="eastAsia" w:ascii="方正楷体_GBK" w:hAnsi="方正楷体_GBK" w:eastAsia="方正楷体_GBK" w:cs="方正楷体_GBK"/>
          <w:kern w:val="0"/>
          <w:sz w:val="24"/>
          <w:szCs w:val="24"/>
        </w:rPr>
        <w:t>“产品变更以重庆银行最新规定为准。”</w:t>
      </w:r>
    </w:p>
    <w:p>
      <w:pPr>
        <w:widowControl/>
        <w:jc w:val="left"/>
        <w:rPr>
          <w:rFonts w:hint="default" w:ascii="Times New Roman" w:hAnsi="Times New Roman" w:eastAsia="黑体" w:cs="Times New Roman"/>
          <w:kern w:val="0"/>
          <w:szCs w:val="32"/>
        </w:rPr>
      </w:pPr>
    </w:p>
    <w:p>
      <w:pPr>
        <w:widowControl/>
        <w:jc w:val="left"/>
        <w:rPr>
          <w:rFonts w:hint="default" w:ascii="Times New Roman" w:hAnsi="Times New Roman" w:eastAsia="黑体" w:cs="Times New Roman"/>
          <w:kern w:val="0"/>
          <w:szCs w:val="32"/>
        </w:rPr>
      </w:pPr>
    </w:p>
    <w:p>
      <w:pPr>
        <w:widowControl/>
        <w:jc w:val="left"/>
        <w:rPr>
          <w:rFonts w:hint="default" w:ascii="Times New Roman" w:hAnsi="Times New Roman" w:eastAsia="方正黑体_GBK" w:cs="Times New Roman"/>
          <w:kern w:val="0"/>
          <w:sz w:val="24"/>
          <w:szCs w:val="24"/>
        </w:rPr>
      </w:pPr>
      <w:r>
        <w:rPr>
          <w:rFonts w:hint="default" w:ascii="Times New Roman" w:hAnsi="Times New Roman" w:eastAsia="方正黑体_GBK" w:cs="Times New Roman"/>
          <w:kern w:val="0"/>
          <w:szCs w:val="32"/>
        </w:rPr>
        <w:t>附件6</w:t>
      </w:r>
    </w:p>
    <w:p>
      <w:pPr>
        <w:widowControl/>
        <w:jc w:val="center"/>
        <w:rPr>
          <w:rFonts w:hint="default" w:ascii="Times New Roman" w:hAnsi="Times New Roman" w:eastAsia="方正小标宋_GBK" w:cs="Times New Roman"/>
          <w:sz w:val="44"/>
          <w:szCs w:val="44"/>
        </w:rPr>
      </w:pPr>
      <w:r>
        <w:rPr>
          <w:rFonts w:hint="default" w:ascii="Times New Roman" w:hAnsi="Times New Roman" w:eastAsia="方正小标宋_GBK" w:cs="Times New Roman"/>
          <w:sz w:val="44"/>
          <w:szCs w:val="44"/>
        </w:rPr>
        <w:t>重庆银行兑换外币流程</w:t>
      </w:r>
    </w:p>
    <w:p>
      <w:pPr>
        <w:pStyle w:val="6"/>
        <w:shd w:val="clear" w:color="auto" w:fill="FFFFFF"/>
        <w:spacing w:before="0" w:beforeAutospacing="0" w:after="0" w:afterAutospacing="0" w:line="480" w:lineRule="atLeast"/>
        <w:jc w:val="both"/>
        <w:rPr>
          <w:rFonts w:hint="default" w:ascii="Times New Roman" w:hAnsi="Times New Roman" w:eastAsia="方正仿宋_GBK" w:cs="Times New Roman"/>
          <w:spacing w:val="8"/>
          <w:sz w:val="28"/>
          <w:szCs w:val="28"/>
        </w:rPr>
      </w:pPr>
    </w:p>
    <w:p>
      <w:pPr>
        <w:pStyle w:val="6"/>
        <w:shd w:val="clear" w:color="auto" w:fill="FFFFFF"/>
        <w:spacing w:before="0" w:beforeAutospacing="0" w:after="0" w:afterAutospacing="0" w:line="480" w:lineRule="atLeast"/>
        <w:ind w:firstLine="594" w:firstLineChars="200"/>
        <w:jc w:val="both"/>
        <w:rPr>
          <w:rFonts w:hint="default" w:ascii="Times New Roman" w:hAnsi="Times New Roman" w:eastAsia="方正仿宋_GBK" w:cs="Times New Roman"/>
          <w:spacing w:val="8"/>
          <w:sz w:val="28"/>
          <w:szCs w:val="28"/>
        </w:rPr>
      </w:pPr>
      <w:r>
        <w:rPr>
          <w:rFonts w:hint="default" w:ascii="Times New Roman" w:hAnsi="Times New Roman" w:eastAsia="方正仿宋_GBK" w:cs="Times New Roman"/>
          <w:b/>
          <w:spacing w:val="8"/>
          <w:sz w:val="28"/>
          <w:szCs w:val="28"/>
        </w:rPr>
        <w:t>一、可换币种：</w:t>
      </w:r>
      <w:r>
        <w:rPr>
          <w:rFonts w:hint="default" w:ascii="Times New Roman" w:hAnsi="Times New Roman" w:eastAsia="方正仿宋_GBK" w:cs="Times New Roman"/>
          <w:spacing w:val="8"/>
          <w:sz w:val="28"/>
          <w:szCs w:val="28"/>
        </w:rPr>
        <w:t>共有18个币种可兑换(美元、英镑、欧元、加拿大元、新台币、韩元、日元、泰铢、港币、澳大利亚元、瑞士法郎、新加坡元、马来西亚吉林特、新西兰元、越南盾、菲律宾比索、印尼卢比、俄罗斯卢布 )。</w:t>
      </w:r>
    </w:p>
    <w:p>
      <w:pPr>
        <w:pStyle w:val="6"/>
        <w:shd w:val="clear" w:color="auto" w:fill="FFFFFF"/>
        <w:spacing w:before="0" w:beforeAutospacing="0" w:after="0" w:afterAutospacing="0" w:line="480" w:lineRule="atLeast"/>
        <w:ind w:firstLine="594" w:firstLineChars="200"/>
        <w:jc w:val="both"/>
        <w:rPr>
          <w:rFonts w:hint="default" w:ascii="Times New Roman" w:hAnsi="Times New Roman" w:eastAsia="方正仿宋_GBK" w:cs="Times New Roman"/>
          <w:spacing w:val="8"/>
          <w:sz w:val="28"/>
          <w:szCs w:val="28"/>
        </w:rPr>
      </w:pPr>
      <w:r>
        <w:rPr>
          <w:rFonts w:hint="default" w:ascii="Times New Roman" w:hAnsi="Times New Roman" w:eastAsia="方正仿宋_GBK" w:cs="Times New Roman"/>
          <w:b/>
          <w:spacing w:val="8"/>
          <w:sz w:val="28"/>
          <w:szCs w:val="28"/>
        </w:rPr>
        <w:t>二、兑换方式：</w:t>
      </w:r>
      <w:r>
        <w:rPr>
          <w:rFonts w:hint="default" w:ascii="Times New Roman" w:hAnsi="Times New Roman" w:eastAsia="方正仿宋_GBK" w:cs="Times New Roman"/>
          <w:spacing w:val="8"/>
          <w:sz w:val="28"/>
          <w:szCs w:val="28"/>
        </w:rPr>
        <w:t>线上兑换、线下领取。</w:t>
      </w:r>
    </w:p>
    <w:p>
      <w:pPr>
        <w:pStyle w:val="6"/>
        <w:shd w:val="clear" w:color="auto" w:fill="FFFFFF"/>
        <w:spacing w:before="0" w:beforeAutospacing="0" w:after="0" w:afterAutospacing="0" w:line="480" w:lineRule="atLeast"/>
        <w:ind w:firstLine="594" w:firstLineChars="200"/>
        <w:rPr>
          <w:rFonts w:hint="default" w:ascii="Times New Roman" w:hAnsi="Times New Roman" w:eastAsia="方正仿宋_GBK" w:cs="Times New Roman"/>
          <w:b/>
          <w:spacing w:val="8"/>
          <w:sz w:val="28"/>
          <w:szCs w:val="28"/>
        </w:rPr>
      </w:pPr>
      <w:r>
        <w:rPr>
          <w:rFonts w:hint="default" w:ascii="Times New Roman" w:hAnsi="Times New Roman" w:eastAsia="方正仿宋_GBK" w:cs="Times New Roman"/>
          <w:b/>
          <w:spacing w:val="8"/>
          <w:sz w:val="28"/>
          <w:szCs w:val="28"/>
        </w:rPr>
        <w:t>三、兑换地点：</w:t>
      </w:r>
      <w:r>
        <w:rPr>
          <w:rFonts w:hint="default" w:ascii="Times New Roman" w:hAnsi="Times New Roman" w:eastAsia="方正仿宋_GBK" w:cs="Times New Roman"/>
          <w:spacing w:val="8"/>
          <w:sz w:val="28"/>
          <w:szCs w:val="28"/>
        </w:rPr>
        <w:t>宇鑫解放碑营业厅（渝中区解放碑五四路39号都市广场A座19楼）</w:t>
      </w:r>
    </w:p>
    <w:p>
      <w:pPr>
        <w:pStyle w:val="6"/>
        <w:shd w:val="clear" w:color="auto" w:fill="FFFFFF"/>
        <w:spacing w:before="0" w:beforeAutospacing="0" w:after="0" w:afterAutospacing="0" w:line="480" w:lineRule="atLeast"/>
        <w:ind w:firstLine="594" w:firstLineChars="200"/>
        <w:rPr>
          <w:rFonts w:hint="default" w:ascii="Times New Roman" w:hAnsi="Times New Roman" w:eastAsia="方正仿宋_GBK" w:cs="Times New Roman"/>
          <w:b/>
          <w:spacing w:val="8"/>
          <w:sz w:val="28"/>
          <w:szCs w:val="28"/>
        </w:rPr>
      </w:pPr>
      <w:r>
        <w:rPr>
          <w:rFonts w:hint="default" w:ascii="Times New Roman" w:hAnsi="Times New Roman" w:eastAsia="方正仿宋_GBK" w:cs="Times New Roman"/>
          <w:b/>
          <w:spacing w:val="8"/>
          <w:sz w:val="28"/>
          <w:szCs w:val="28"/>
        </w:rPr>
        <w:t>四、兑换时间：</w:t>
      </w:r>
      <w:r>
        <w:rPr>
          <w:rFonts w:hint="default" w:ascii="Times New Roman" w:hAnsi="Times New Roman" w:eastAsia="方正仿宋_GBK" w:cs="Times New Roman"/>
          <w:spacing w:val="8"/>
          <w:sz w:val="28"/>
          <w:szCs w:val="28"/>
        </w:rPr>
        <w:t>周一至周日，上午9:00-12:00；下午13:00-18:00。</w:t>
      </w:r>
    </w:p>
    <w:p>
      <w:pPr>
        <w:pStyle w:val="6"/>
        <w:shd w:val="clear" w:color="auto" w:fill="FFFFFF"/>
        <w:spacing w:before="0" w:beforeAutospacing="0" w:after="0" w:afterAutospacing="0" w:line="480" w:lineRule="atLeast"/>
        <w:ind w:firstLine="594" w:firstLineChars="200"/>
        <w:jc w:val="both"/>
        <w:rPr>
          <w:rFonts w:hint="default" w:ascii="Times New Roman" w:hAnsi="Times New Roman" w:eastAsia="方正仿宋_GBK" w:cs="Times New Roman"/>
          <w:b/>
          <w:spacing w:val="8"/>
          <w:sz w:val="28"/>
          <w:szCs w:val="28"/>
        </w:rPr>
      </w:pPr>
      <w:r>
        <w:rPr>
          <w:rFonts w:hint="default" w:ascii="Times New Roman" w:hAnsi="Times New Roman" w:eastAsia="方正仿宋_GBK" w:cs="Times New Roman"/>
          <w:b/>
          <w:spacing w:val="8"/>
          <w:sz w:val="28"/>
          <w:szCs w:val="28"/>
        </w:rPr>
        <w:t>五、兑换流程：</w:t>
      </w:r>
    </w:p>
    <w:p>
      <w:pPr>
        <w:ind w:firstLine="740" w:firstLineChars="250"/>
        <w:jc w:val="left"/>
        <w:rPr>
          <w:rFonts w:hint="default" w:ascii="Times New Roman" w:hAnsi="Times New Roman" w:cs="Times New Roman"/>
          <w:spacing w:val="8"/>
          <w:kern w:val="0"/>
          <w:sz w:val="28"/>
          <w:szCs w:val="28"/>
        </w:rPr>
      </w:pPr>
      <w:r>
        <w:rPr>
          <w:rFonts w:hint="default" w:ascii="Times New Roman" w:hAnsi="Times New Roman" w:cs="Times New Roman"/>
          <w:spacing w:val="8"/>
          <w:kern w:val="0"/>
          <w:sz w:val="28"/>
          <w:szCs w:val="28"/>
        </w:rPr>
        <w:t>1.货币兑换业务有两种方式进入：</w:t>
      </w:r>
    </w:p>
    <w:p>
      <w:pPr>
        <w:ind w:firstLine="641"/>
        <w:jc w:val="left"/>
        <w:rPr>
          <w:rFonts w:hint="default" w:ascii="Times New Roman" w:hAnsi="Times New Roman" w:cs="Times New Roman"/>
          <w:spacing w:val="8"/>
          <w:kern w:val="0"/>
          <w:sz w:val="28"/>
          <w:szCs w:val="28"/>
        </w:rPr>
      </w:pPr>
      <w:r>
        <w:rPr>
          <w:rFonts w:hint="default" w:ascii="Times New Roman" w:hAnsi="Times New Roman" w:cs="Times New Roman"/>
          <w:spacing w:val="8"/>
          <w:kern w:val="0"/>
          <w:sz w:val="28"/>
          <w:szCs w:val="28"/>
        </w:rPr>
        <w:t>（1）首页-全部工具-生活助手-货币兑换；</w:t>
      </w:r>
    </w:p>
    <w:p>
      <w:pPr>
        <w:ind w:firstLine="641"/>
        <w:jc w:val="left"/>
        <w:rPr>
          <w:rFonts w:hint="default" w:ascii="Times New Roman" w:hAnsi="Times New Roman" w:cs="Times New Roman"/>
          <w:spacing w:val="8"/>
          <w:kern w:val="0"/>
          <w:sz w:val="28"/>
          <w:szCs w:val="28"/>
        </w:rPr>
      </w:pPr>
      <w:r>
        <w:rPr>
          <w:rFonts w:hint="default" w:ascii="Times New Roman" w:hAnsi="Times New Roman" w:cs="Times New Roman"/>
          <w:spacing w:val="8"/>
          <w:kern w:val="0"/>
          <w:sz w:val="28"/>
          <w:szCs w:val="28"/>
        </w:rPr>
        <w:t>（2）下边栏“生活”-货币兑换。</w:t>
      </w:r>
    </w:p>
    <w:p>
      <w:pPr>
        <w:ind w:firstLine="641"/>
        <w:jc w:val="left"/>
        <w:rPr>
          <w:rFonts w:hint="default" w:ascii="Times New Roman" w:hAnsi="Times New Roman" w:cs="Times New Roman"/>
          <w:spacing w:val="8"/>
          <w:kern w:val="0"/>
          <w:sz w:val="28"/>
          <w:szCs w:val="28"/>
        </w:rPr>
      </w:pPr>
      <w:r>
        <w:rPr>
          <w:rFonts w:hint="default" w:ascii="Times New Roman" w:hAnsi="Times New Roman" w:cs="Times New Roman"/>
          <w:spacing w:val="8"/>
          <w:kern w:val="0"/>
          <w:sz w:val="28"/>
          <w:szCs w:val="28"/>
        </w:rPr>
        <w:t>若首次登录，会自动跳转至开通“网关支付”页面，目前单笔限额最高10000元，单日限额最高10000元。开通网关支付后，货币兑换支付才会成功。</w:t>
      </w:r>
    </w:p>
    <w:p>
      <w:pPr>
        <w:spacing w:line="600" w:lineRule="auto"/>
        <w:ind w:firstLine="420"/>
        <w:jc w:val="left"/>
        <w:rPr>
          <w:rFonts w:hint="default" w:ascii="Times New Roman" w:hAnsi="Times New Roman" w:cs="Times New Roman"/>
        </w:rPr>
      </w:pPr>
      <w:r>
        <w:rPr>
          <w:rFonts w:hint="default" w:ascii="Times New Roman" w:hAnsi="Times New Roman" w:cs="Times New Roman" w:eastAsiaTheme="minorEastAsia"/>
          <w:sz w:val="21"/>
          <w:szCs w:val="22"/>
        </w:rPr>
        <w:object>
          <v:shape id="_x0000_i1025" o:spt="75" type="#_x0000_t75" style="height:217.85pt;width:166.45pt;" o:ole="t" filled="f" o:preferrelative="t" stroked="f" coordsize="21600,21600">
            <v:path/>
            <v:fill on="f" focussize="0,0"/>
            <v:stroke on="f"/>
            <v:imagedata r:id="rId7" o:title=""/>
            <o:lock v:ext="edit" aspectratio="t"/>
            <w10:wrap type="none"/>
            <w10:anchorlock/>
          </v:shape>
          <o:OLEObject Type="Embed" ProgID="StaticMetafile" ShapeID="_x0000_i1025" DrawAspect="Content" ObjectID="_1468075725" r:id="rId6">
            <o:LockedField>false</o:LockedField>
          </o:OLEObject>
        </w:object>
      </w:r>
      <w:r>
        <w:rPr>
          <w:rFonts w:hint="default" w:ascii="Times New Roman" w:hAnsi="Times New Roman" w:cs="Times New Roman" w:eastAsiaTheme="minorEastAsia"/>
          <w:sz w:val="21"/>
          <w:szCs w:val="22"/>
        </w:rPr>
        <w:object>
          <v:shape id="_x0000_i1027" o:spt="75" type="#_x0000_t75" style="height:217.85pt;width:157.1pt;" o:ole="t" filled="f" o:preferrelative="t" stroked="f" coordsize="21600,21600">
            <v:path/>
            <v:fill on="f" focussize="0,0"/>
            <v:stroke on="f"/>
            <v:imagedata r:id="rId9" o:title=""/>
            <o:lock v:ext="edit" aspectratio="t"/>
            <w10:wrap type="none"/>
            <w10:anchorlock/>
          </v:shape>
          <o:OLEObject Type="Embed" ProgID="StaticMetafile" ShapeID="_x0000_i1027" DrawAspect="Content" ObjectID="_1468075726" r:id="rId8">
            <o:LockedField>false</o:LockedField>
          </o:OLEObject>
        </w:object>
      </w:r>
    </w:p>
    <w:p>
      <w:pPr>
        <w:spacing w:line="600" w:lineRule="auto"/>
        <w:ind w:firstLine="640"/>
        <w:jc w:val="left"/>
        <w:rPr>
          <w:rFonts w:hint="default" w:ascii="Times New Roman" w:hAnsi="Times New Roman" w:cs="Times New Roman" w:eastAsiaTheme="minorEastAsia"/>
          <w:sz w:val="21"/>
          <w:szCs w:val="22"/>
        </w:rPr>
      </w:pPr>
      <w:r>
        <w:rPr>
          <w:rFonts w:hint="default" w:ascii="Times New Roman" w:hAnsi="Times New Roman" w:cs="Times New Roman" w:eastAsiaTheme="minorEastAsia"/>
          <w:sz w:val="21"/>
          <w:szCs w:val="22"/>
        </w:rPr>
        <w:object>
          <v:shape id="_x0000_i1028" o:spt="75" type="#_x0000_t75" style="height:229.1pt;width:168.3pt;" o:ole="t" filled="f" o:preferrelative="t" stroked="f" coordsize="21600,21600">
            <v:path/>
            <v:fill on="f" focussize="0,0"/>
            <v:stroke on="f"/>
            <v:imagedata r:id="rId11" o:title=""/>
            <o:lock v:ext="edit" aspectratio="t"/>
            <w10:wrap type="none"/>
            <w10:anchorlock/>
          </v:shape>
          <o:OLEObject Type="Embed" ProgID="StaticMetafile" ShapeID="_x0000_i1028" DrawAspect="Content" ObjectID="_1468075727" r:id="rId10">
            <o:LockedField>false</o:LockedField>
          </o:OLEObject>
        </w:object>
      </w:r>
      <w:r>
        <w:rPr>
          <w:rFonts w:hint="default" w:ascii="Times New Roman" w:hAnsi="Times New Roman" w:cs="Times New Roman" w:eastAsiaTheme="minorEastAsia"/>
          <w:sz w:val="21"/>
          <w:szCs w:val="22"/>
        </w:rPr>
        <w:object>
          <v:shape id="_x0000_i1029" o:spt="75" type="#_x0000_t75" style="height:229.1pt;width:158.95pt;" o:ole="t" filled="f" o:preferrelative="t" stroked="f" coordsize="21600,21600">
            <v:path/>
            <v:fill on="f" focussize="0,0"/>
            <v:stroke on="f"/>
            <v:imagedata r:id="rId13" o:title=""/>
            <o:lock v:ext="edit" aspectratio="t"/>
            <w10:wrap type="none"/>
            <w10:anchorlock/>
          </v:shape>
          <o:OLEObject Type="Embed" ProgID="StaticMetafile" ShapeID="_x0000_i1029" DrawAspect="Content" ObjectID="_1468075728" r:id="rId12">
            <o:LockedField>false</o:LockedField>
          </o:OLEObject>
        </w:object>
      </w:r>
    </w:p>
    <w:p>
      <w:pPr>
        <w:ind w:firstLine="641"/>
        <w:jc w:val="left"/>
        <w:rPr>
          <w:rFonts w:hint="default" w:ascii="Times New Roman" w:hAnsi="Times New Roman" w:cs="Times New Roman"/>
          <w:spacing w:val="8"/>
          <w:kern w:val="0"/>
          <w:sz w:val="28"/>
          <w:szCs w:val="28"/>
        </w:rPr>
      </w:pPr>
    </w:p>
    <w:p>
      <w:pPr>
        <w:ind w:firstLine="641"/>
        <w:jc w:val="left"/>
        <w:rPr>
          <w:rFonts w:hint="default" w:ascii="Times New Roman" w:hAnsi="Times New Roman" w:cs="Times New Roman"/>
          <w:spacing w:val="8"/>
          <w:kern w:val="0"/>
          <w:sz w:val="28"/>
          <w:szCs w:val="28"/>
        </w:rPr>
      </w:pPr>
      <w:r>
        <w:rPr>
          <w:rFonts w:hint="default" w:ascii="Times New Roman" w:hAnsi="Times New Roman" w:cs="Times New Roman"/>
          <w:spacing w:val="8"/>
          <w:kern w:val="0"/>
          <w:sz w:val="28"/>
          <w:szCs w:val="28"/>
        </w:rPr>
        <w:t>2.点击进入后，有办理须知需要阅读，点击“我接受以上条款”，进入外币兑换页面，选择币种、输入兑换金额，确认好前往取钞时间。外币兑换单笔兑换金额最低500元人民币。</w:t>
      </w:r>
    </w:p>
    <w:p>
      <w:pPr>
        <w:ind w:firstLine="641"/>
        <w:jc w:val="left"/>
        <w:rPr>
          <w:rFonts w:hint="default" w:ascii="Times New Roman" w:hAnsi="Times New Roman" w:cs="Times New Roman"/>
          <w:spacing w:val="8"/>
          <w:kern w:val="0"/>
          <w:sz w:val="28"/>
          <w:szCs w:val="28"/>
        </w:rPr>
      </w:pPr>
    </w:p>
    <w:p>
      <w:pPr>
        <w:spacing w:line="600" w:lineRule="auto"/>
        <w:ind w:firstLine="640"/>
        <w:jc w:val="left"/>
        <w:rPr>
          <w:rFonts w:hint="default" w:ascii="Times New Roman" w:hAnsi="Times New Roman" w:cs="Times New Roman"/>
        </w:rPr>
      </w:pPr>
      <w:r>
        <w:rPr>
          <w:rFonts w:hint="default" w:ascii="Times New Roman" w:hAnsi="Times New Roman" w:cs="Times New Roman" w:eastAsiaTheme="minorEastAsia"/>
          <w:sz w:val="21"/>
          <w:szCs w:val="22"/>
        </w:rPr>
        <w:object>
          <v:shape id="_x0000_i1030" o:spt="75" type="#_x0000_t75" style="height:232.85pt;width:163.65pt;" o:ole="t" filled="f" o:preferrelative="t" stroked="f" coordsize="21600,21600">
            <v:path/>
            <v:fill on="f" focussize="0,0"/>
            <v:stroke on="f"/>
            <v:imagedata r:id="rId15" o:title=""/>
            <o:lock v:ext="edit" aspectratio="t"/>
            <w10:wrap type="none"/>
            <w10:anchorlock/>
          </v:shape>
          <o:OLEObject Type="Embed" ProgID="StaticMetafile" ShapeID="_x0000_i1030" DrawAspect="Content" ObjectID="_1468075729" r:id="rId14">
            <o:LockedField>false</o:LockedField>
          </o:OLEObject>
        </w:object>
      </w:r>
      <w:r>
        <w:rPr>
          <w:rFonts w:hint="default" w:ascii="Times New Roman" w:hAnsi="Times New Roman" w:cs="Times New Roman" w:eastAsiaTheme="minorEastAsia"/>
          <w:sz w:val="21"/>
          <w:szCs w:val="22"/>
        </w:rPr>
        <w:object>
          <v:shape id="_x0000_i1031" o:spt="75" type="#_x0000_t75" style="height:232.85pt;width:158.95pt;" o:ole="t" filled="f" o:preferrelative="t" stroked="f" coordsize="21600,21600">
            <v:path/>
            <v:fill on="f" focussize="0,0"/>
            <v:stroke on="f"/>
            <v:imagedata r:id="rId17" o:title=""/>
            <o:lock v:ext="edit" aspectratio="t"/>
            <w10:wrap type="none"/>
            <w10:anchorlock/>
          </v:shape>
          <o:OLEObject Type="Embed" ProgID="StaticMetafile" ShapeID="_x0000_i1031" DrawAspect="Content" ObjectID="_1468075730" r:id="rId16">
            <o:LockedField>false</o:LockedField>
          </o:OLEObject>
        </w:object>
      </w:r>
    </w:p>
    <w:p>
      <w:pPr>
        <w:ind w:firstLine="740" w:firstLineChars="250"/>
        <w:jc w:val="left"/>
        <w:rPr>
          <w:rFonts w:hint="default" w:ascii="Times New Roman" w:hAnsi="Times New Roman" w:cs="Times New Roman"/>
          <w:spacing w:val="8"/>
          <w:kern w:val="0"/>
          <w:sz w:val="28"/>
          <w:szCs w:val="28"/>
        </w:rPr>
      </w:pPr>
    </w:p>
    <w:p>
      <w:pPr>
        <w:ind w:firstLine="740" w:firstLineChars="250"/>
        <w:jc w:val="left"/>
        <w:rPr>
          <w:rFonts w:hint="default" w:ascii="Times New Roman" w:hAnsi="Times New Roman" w:cs="Times New Roman"/>
          <w:spacing w:val="8"/>
          <w:kern w:val="0"/>
          <w:sz w:val="28"/>
          <w:szCs w:val="28"/>
        </w:rPr>
      </w:pPr>
      <w:r>
        <w:rPr>
          <w:rFonts w:hint="default" w:ascii="Times New Roman" w:hAnsi="Times New Roman" w:cs="Times New Roman"/>
          <w:spacing w:val="8"/>
          <w:kern w:val="0"/>
          <w:sz w:val="28"/>
          <w:szCs w:val="28"/>
        </w:rPr>
        <w:t>3.阅读“个人购汇申请书”，填写购汇信息，核对信息。</w:t>
      </w:r>
    </w:p>
    <w:p>
      <w:pPr>
        <w:spacing w:line="600" w:lineRule="auto"/>
        <w:jc w:val="left"/>
        <w:rPr>
          <w:rFonts w:hint="default" w:ascii="Times New Roman" w:hAnsi="Times New Roman" w:cs="Times New Roman"/>
        </w:rPr>
      </w:pPr>
    </w:p>
    <w:p>
      <w:pPr>
        <w:spacing w:line="600" w:lineRule="auto"/>
        <w:ind w:firstLine="640"/>
        <w:jc w:val="left"/>
        <w:rPr>
          <w:rFonts w:hint="default" w:ascii="Times New Roman" w:hAnsi="Times New Roman" w:cs="Times New Roman" w:eastAsiaTheme="minorEastAsia"/>
          <w:sz w:val="21"/>
          <w:szCs w:val="22"/>
        </w:rPr>
      </w:pPr>
      <w:r>
        <w:rPr>
          <w:rFonts w:hint="default" w:ascii="Times New Roman" w:hAnsi="Times New Roman" w:cs="Times New Roman" w:eastAsiaTheme="minorEastAsia"/>
          <w:sz w:val="21"/>
          <w:szCs w:val="22"/>
        </w:rPr>
        <w:object>
          <v:shape id="_x0000_i1032" o:spt="75" type="#_x0000_t75" style="height:234.7pt;width:164.55pt;" o:ole="t" filled="f" o:preferrelative="t" stroked="f" coordsize="21600,21600">
            <v:path/>
            <v:fill on="f" focussize="0,0"/>
            <v:stroke on="f"/>
            <v:imagedata r:id="rId19" o:title=""/>
            <o:lock v:ext="edit" aspectratio="t"/>
            <w10:wrap type="none"/>
            <w10:anchorlock/>
          </v:shape>
          <o:OLEObject Type="Embed" ProgID="StaticMetafile" ShapeID="_x0000_i1032" DrawAspect="Content" ObjectID="_1468075731" r:id="rId18">
            <o:LockedField>false</o:LockedField>
          </o:OLEObject>
        </w:object>
      </w:r>
      <w:r>
        <w:rPr>
          <w:rFonts w:hint="default" w:ascii="Times New Roman" w:hAnsi="Times New Roman" w:cs="Times New Roman" w:eastAsiaTheme="minorEastAsia"/>
          <w:sz w:val="21"/>
          <w:szCs w:val="22"/>
        </w:rPr>
        <w:object>
          <v:shape id="_x0000_i1033" o:spt="75" type="#_x0000_t75" style="height:234.7pt;width:157.1pt;" o:ole="t" filled="f" o:preferrelative="t" stroked="f" coordsize="21600,21600">
            <v:path/>
            <v:fill on="f" focussize="0,0"/>
            <v:stroke on="f"/>
            <v:imagedata r:id="rId21" o:title=""/>
            <o:lock v:ext="edit" aspectratio="t"/>
            <w10:wrap type="none"/>
            <w10:anchorlock/>
          </v:shape>
          <o:OLEObject Type="Embed" ProgID="StaticMetafile" ShapeID="_x0000_i1033" DrawAspect="Content" ObjectID="_1468075732" r:id="rId20">
            <o:LockedField>false</o:LockedField>
          </o:OLEObject>
        </w:object>
      </w:r>
    </w:p>
    <w:p>
      <w:pPr>
        <w:ind w:firstLine="740" w:firstLineChars="250"/>
        <w:jc w:val="left"/>
        <w:rPr>
          <w:rFonts w:hint="default" w:ascii="Times New Roman" w:hAnsi="Times New Roman" w:cs="Times New Roman"/>
          <w:spacing w:val="8"/>
          <w:kern w:val="0"/>
          <w:sz w:val="28"/>
          <w:szCs w:val="28"/>
        </w:rPr>
      </w:pPr>
      <w:r>
        <w:rPr>
          <w:rFonts w:hint="default" w:ascii="Times New Roman" w:hAnsi="Times New Roman" w:cs="Times New Roman"/>
          <w:spacing w:val="8"/>
          <w:kern w:val="0"/>
          <w:sz w:val="28"/>
          <w:szCs w:val="28"/>
        </w:rPr>
        <w:t>4、核对支付金额，确认支付，订单支付成功。</w:t>
      </w:r>
    </w:p>
    <w:p>
      <w:pPr>
        <w:widowControl/>
        <w:jc w:val="left"/>
        <w:rPr>
          <w:rFonts w:hint="default" w:ascii="Times New Roman" w:hAnsi="Times New Roman" w:cs="Times New Roman"/>
          <w:spacing w:val="8"/>
          <w:sz w:val="28"/>
          <w:szCs w:val="28"/>
        </w:rPr>
      </w:pPr>
      <w:r>
        <w:rPr>
          <w:rFonts w:hint="default" w:ascii="Times New Roman" w:hAnsi="Times New Roman" w:cs="Times New Roman" w:eastAsiaTheme="minorEastAsia"/>
          <w:sz w:val="21"/>
          <w:szCs w:val="22"/>
        </w:rPr>
        <w:object>
          <v:shape id="_x0000_i1034" o:spt="75" type="#_x0000_t75" style="height:202.9pt;width:134.65pt;" o:ole="t" filled="f" o:preferrelative="t" stroked="f" coordsize="21600,21600">
            <v:path/>
            <v:fill on="f" focussize="0,0"/>
            <v:stroke on="f"/>
            <v:imagedata r:id="rId23" o:title=""/>
            <o:lock v:ext="edit" aspectratio="t"/>
            <w10:wrap type="none"/>
            <w10:anchorlock/>
          </v:shape>
          <o:OLEObject Type="Embed" ProgID="StaticMetafile" ShapeID="_x0000_i1034" DrawAspect="Content" ObjectID="_1468075733" r:id="rId22">
            <o:LockedField>false</o:LockedField>
          </o:OLEObject>
        </w:object>
      </w:r>
      <w:r>
        <w:rPr>
          <w:rFonts w:hint="default" w:ascii="Times New Roman" w:hAnsi="Times New Roman" w:cs="Times New Roman" w:eastAsiaTheme="minorEastAsia"/>
          <w:sz w:val="21"/>
          <w:szCs w:val="22"/>
        </w:rPr>
        <w:object>
          <v:shape id="_x0000_i1035" o:spt="75" type="#_x0000_t75" style="height:202.9pt;width:123.45pt;" o:ole="t" filled="f" o:preferrelative="t" stroked="f" coordsize="21600,21600">
            <v:path/>
            <v:fill on="f" focussize="0,0"/>
            <v:stroke on="f"/>
            <v:imagedata r:id="rId25" o:title=""/>
            <o:lock v:ext="edit" aspectratio="t"/>
            <w10:wrap type="none"/>
            <w10:anchorlock/>
          </v:shape>
          <o:OLEObject Type="Embed" ProgID="StaticMetafile" ShapeID="_x0000_i1035" DrawAspect="Content" ObjectID="_1468075734" r:id="rId24">
            <o:LockedField>false</o:LockedField>
          </o:OLEObject>
        </w:object>
      </w:r>
      <w:r>
        <w:rPr>
          <w:rFonts w:hint="default" w:ascii="Times New Roman" w:hAnsi="Times New Roman" w:cs="Times New Roman" w:eastAsiaTheme="minorEastAsia"/>
          <w:sz w:val="21"/>
          <w:szCs w:val="22"/>
        </w:rPr>
        <w:object>
          <v:shape id="_x0000_i1036" o:spt="75" type="#_x0000_t75" style="height:202.9pt;width:124.35pt;" o:ole="t" filled="f" o:preferrelative="t" stroked="f" coordsize="21600,21600">
            <v:path/>
            <v:fill on="f" focussize="0,0"/>
            <v:stroke on="f"/>
            <v:imagedata r:id="rId27" o:title=""/>
            <o:lock v:ext="edit" aspectratio="t"/>
            <w10:wrap type="none"/>
            <w10:anchorlock/>
          </v:shape>
          <o:OLEObject Type="Embed" ProgID="StaticMetafile" ShapeID="_x0000_i1036" DrawAspect="Content" ObjectID="_1468075735" r:id="rId26">
            <o:LockedField>false</o:LockedField>
          </o:OLEObject>
        </w:object>
      </w:r>
    </w:p>
    <w:p>
      <w:pPr>
        <w:pStyle w:val="6"/>
        <w:shd w:val="clear" w:color="auto" w:fill="FFFFFF"/>
        <w:spacing w:before="0" w:beforeAutospacing="0" w:after="0" w:afterAutospacing="0" w:line="480" w:lineRule="atLeast"/>
        <w:ind w:firstLine="594" w:firstLineChars="200"/>
        <w:jc w:val="both"/>
        <w:rPr>
          <w:rFonts w:hint="default" w:ascii="Times New Roman" w:hAnsi="Times New Roman" w:eastAsia="方正仿宋_GBK" w:cs="Times New Roman"/>
          <w:b/>
          <w:spacing w:val="8"/>
          <w:sz w:val="28"/>
          <w:szCs w:val="28"/>
        </w:rPr>
      </w:pPr>
    </w:p>
    <w:p>
      <w:pPr>
        <w:pStyle w:val="6"/>
        <w:shd w:val="clear" w:color="auto" w:fill="FFFFFF"/>
        <w:spacing w:before="0" w:beforeAutospacing="0" w:after="0" w:afterAutospacing="0" w:line="480" w:lineRule="atLeast"/>
        <w:ind w:firstLine="594" w:firstLineChars="200"/>
        <w:jc w:val="both"/>
        <w:rPr>
          <w:rFonts w:hint="default" w:ascii="Times New Roman" w:hAnsi="Times New Roman" w:eastAsia="方正仿宋_GBK" w:cs="Times New Roman"/>
          <w:b/>
          <w:spacing w:val="8"/>
          <w:sz w:val="28"/>
          <w:szCs w:val="28"/>
        </w:rPr>
      </w:pPr>
      <w:r>
        <w:rPr>
          <w:rFonts w:hint="default" w:ascii="Times New Roman" w:hAnsi="Times New Roman" w:eastAsia="方正仿宋_GBK" w:cs="Times New Roman"/>
          <w:b/>
          <w:spacing w:val="8"/>
          <w:sz w:val="28"/>
          <w:szCs w:val="28"/>
        </w:rPr>
        <w:t>六、温馨提示</w:t>
      </w:r>
    </w:p>
    <w:p>
      <w:pPr>
        <w:widowControl/>
        <w:ind w:firstLine="592" w:firstLineChars="200"/>
        <w:rPr>
          <w:rFonts w:hint="default" w:ascii="Times New Roman" w:hAnsi="Times New Roman" w:cs="Times New Roman"/>
          <w:spacing w:val="8"/>
          <w:sz w:val="28"/>
          <w:szCs w:val="28"/>
        </w:rPr>
      </w:pPr>
      <w:r>
        <w:rPr>
          <w:rFonts w:hint="default" w:ascii="Times New Roman" w:hAnsi="Times New Roman" w:cs="Times New Roman"/>
          <w:spacing w:val="8"/>
          <w:sz w:val="28"/>
          <w:szCs w:val="28"/>
        </w:rPr>
        <w:t>1.取钞地点：在下单时需要选择取钞时间，请于约定的时间前往宇鑫解放碑营业厅（渝中区解放碑五四路39号都市广场A座19楼，联系电话：023-81308037）取钞。</w:t>
      </w:r>
    </w:p>
    <w:p>
      <w:pPr>
        <w:widowControl/>
        <w:ind w:firstLine="592" w:firstLineChars="200"/>
        <w:rPr>
          <w:rFonts w:hint="default" w:ascii="Times New Roman" w:hAnsi="Times New Roman" w:eastAsia="黑体" w:cs="Times New Roman"/>
          <w:kern w:val="0"/>
          <w:szCs w:val="32"/>
        </w:rPr>
      </w:pPr>
      <w:r>
        <w:rPr>
          <w:rFonts w:hint="default" w:ascii="Times New Roman" w:hAnsi="Times New Roman" w:cs="Times New Roman"/>
          <w:spacing w:val="8"/>
          <w:sz w:val="28"/>
          <w:szCs w:val="28"/>
        </w:rPr>
        <w:t>2.部分币种可以提供零钱搭配，如有要求兑换小面额货币，请提前拨打：023-81308037咨询确认后再下单。</w:t>
      </w:r>
    </w:p>
    <w:sectPr>
      <w:pgSz w:w="11906" w:h="16838"/>
      <w:pgMar w:top="1440" w:right="1797" w:bottom="1440" w:left="1797" w:header="851" w:footer="992" w:gutter="0"/>
      <w:cols w:space="425" w:num="1"/>
      <w:docGrid w:type="lines" w:linePitch="43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仿宋_GBK">
    <w:panose1 w:val="03000509000000000000"/>
    <w:charset w:val="86"/>
    <w:family w:val="script"/>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font>
  <w:font w:name="方正小标宋_GBK">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方正楷体_GBK">
    <w:panose1 w:val="03000509000000000000"/>
    <w:charset w:val="86"/>
    <w:family w:val="script"/>
    <w:pitch w:val="default"/>
    <w:sig w:usb0="00000001" w:usb1="080E0000" w:usb2="00000000" w:usb3="00000000" w:csb0="00040000" w:csb1="00000000"/>
  </w:font>
  <w:font w:name="方正黑体_GBK">
    <w:panose1 w:val="03000509000000000000"/>
    <w:charset w:val="86"/>
    <w:family w:val="script"/>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bordersDoNotSurroundHeader w:val="1"/>
  <w:bordersDoNotSurroundFooter w:val="1"/>
  <w:documentProtection w:edit="readOnly" w:enforcement="0"/>
  <w:defaultTabStop w:val="420"/>
  <w:drawingGridHorizontalSpacing w:val="160"/>
  <w:drawingGridVerticalSpacing w:val="435"/>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6934"/>
    <w:rsid w:val="00013E3C"/>
    <w:rsid w:val="000172B9"/>
    <w:rsid w:val="00017702"/>
    <w:rsid w:val="00033DCE"/>
    <w:rsid w:val="00045184"/>
    <w:rsid w:val="0005563D"/>
    <w:rsid w:val="0005641B"/>
    <w:rsid w:val="00056BDF"/>
    <w:rsid w:val="000663AC"/>
    <w:rsid w:val="00071645"/>
    <w:rsid w:val="00082931"/>
    <w:rsid w:val="00085CDB"/>
    <w:rsid w:val="000879C6"/>
    <w:rsid w:val="00096093"/>
    <w:rsid w:val="000A1F26"/>
    <w:rsid w:val="000A4FD0"/>
    <w:rsid w:val="000A7599"/>
    <w:rsid w:val="000B15BB"/>
    <w:rsid w:val="000C1396"/>
    <w:rsid w:val="000D0CBF"/>
    <w:rsid w:val="000D393C"/>
    <w:rsid w:val="000D407B"/>
    <w:rsid w:val="000E16F3"/>
    <w:rsid w:val="000E7FF0"/>
    <w:rsid w:val="000F5480"/>
    <w:rsid w:val="000F7987"/>
    <w:rsid w:val="00107FD1"/>
    <w:rsid w:val="00112BEF"/>
    <w:rsid w:val="00112E72"/>
    <w:rsid w:val="0013091F"/>
    <w:rsid w:val="0013619E"/>
    <w:rsid w:val="001409F3"/>
    <w:rsid w:val="00181264"/>
    <w:rsid w:val="0019570B"/>
    <w:rsid w:val="001A32E9"/>
    <w:rsid w:val="001A3439"/>
    <w:rsid w:val="001A6157"/>
    <w:rsid w:val="001B1135"/>
    <w:rsid w:val="001B133A"/>
    <w:rsid w:val="001B430C"/>
    <w:rsid w:val="001D5104"/>
    <w:rsid w:val="001D550B"/>
    <w:rsid w:val="001E29E9"/>
    <w:rsid w:val="001F0783"/>
    <w:rsid w:val="001F2183"/>
    <w:rsid w:val="001F2E27"/>
    <w:rsid w:val="00205169"/>
    <w:rsid w:val="00205F84"/>
    <w:rsid w:val="00207FF8"/>
    <w:rsid w:val="0021716A"/>
    <w:rsid w:val="00220DD2"/>
    <w:rsid w:val="002210A6"/>
    <w:rsid w:val="00222F33"/>
    <w:rsid w:val="00223863"/>
    <w:rsid w:val="00226D6D"/>
    <w:rsid w:val="00231832"/>
    <w:rsid w:val="00242A60"/>
    <w:rsid w:val="00244750"/>
    <w:rsid w:val="00261054"/>
    <w:rsid w:val="0027649E"/>
    <w:rsid w:val="002B4E30"/>
    <w:rsid w:val="002B50A8"/>
    <w:rsid w:val="002D059F"/>
    <w:rsid w:val="002D134F"/>
    <w:rsid w:val="002D39BC"/>
    <w:rsid w:val="002D7EF1"/>
    <w:rsid w:val="002E2398"/>
    <w:rsid w:val="002E6194"/>
    <w:rsid w:val="002E6A7F"/>
    <w:rsid w:val="002F6D48"/>
    <w:rsid w:val="003115CF"/>
    <w:rsid w:val="00315CDC"/>
    <w:rsid w:val="00322D1A"/>
    <w:rsid w:val="003257D3"/>
    <w:rsid w:val="00326346"/>
    <w:rsid w:val="00327DB8"/>
    <w:rsid w:val="00331534"/>
    <w:rsid w:val="0033285E"/>
    <w:rsid w:val="003651ED"/>
    <w:rsid w:val="00391E87"/>
    <w:rsid w:val="00391F56"/>
    <w:rsid w:val="003A4BAD"/>
    <w:rsid w:val="003A4F20"/>
    <w:rsid w:val="003B6D35"/>
    <w:rsid w:val="003B717B"/>
    <w:rsid w:val="003D0DE5"/>
    <w:rsid w:val="003D4AB9"/>
    <w:rsid w:val="003F4E40"/>
    <w:rsid w:val="00400224"/>
    <w:rsid w:val="00402B74"/>
    <w:rsid w:val="00406005"/>
    <w:rsid w:val="0041670B"/>
    <w:rsid w:val="0042201B"/>
    <w:rsid w:val="00426F92"/>
    <w:rsid w:val="00444CAF"/>
    <w:rsid w:val="00447790"/>
    <w:rsid w:val="00461D94"/>
    <w:rsid w:val="00472324"/>
    <w:rsid w:val="004748A1"/>
    <w:rsid w:val="004808A1"/>
    <w:rsid w:val="004C2763"/>
    <w:rsid w:val="004D0314"/>
    <w:rsid w:val="004D18C4"/>
    <w:rsid w:val="004E29A5"/>
    <w:rsid w:val="004E6AB1"/>
    <w:rsid w:val="004F6E43"/>
    <w:rsid w:val="00504BE0"/>
    <w:rsid w:val="00517BC1"/>
    <w:rsid w:val="00532236"/>
    <w:rsid w:val="005324B0"/>
    <w:rsid w:val="0053570F"/>
    <w:rsid w:val="005421C2"/>
    <w:rsid w:val="005433E0"/>
    <w:rsid w:val="00543F8A"/>
    <w:rsid w:val="00552617"/>
    <w:rsid w:val="00553032"/>
    <w:rsid w:val="00555D2D"/>
    <w:rsid w:val="0055793A"/>
    <w:rsid w:val="005644FF"/>
    <w:rsid w:val="00571398"/>
    <w:rsid w:val="00577B76"/>
    <w:rsid w:val="005821D7"/>
    <w:rsid w:val="00585E42"/>
    <w:rsid w:val="00586DA5"/>
    <w:rsid w:val="00594197"/>
    <w:rsid w:val="005959A8"/>
    <w:rsid w:val="005A261F"/>
    <w:rsid w:val="005A6E8B"/>
    <w:rsid w:val="005B6563"/>
    <w:rsid w:val="005C70E0"/>
    <w:rsid w:val="005D792B"/>
    <w:rsid w:val="005F496B"/>
    <w:rsid w:val="005F49BC"/>
    <w:rsid w:val="00605BD0"/>
    <w:rsid w:val="00610BB7"/>
    <w:rsid w:val="006151A6"/>
    <w:rsid w:val="00632D89"/>
    <w:rsid w:val="00644970"/>
    <w:rsid w:val="00655D06"/>
    <w:rsid w:val="0066426E"/>
    <w:rsid w:val="006665AB"/>
    <w:rsid w:val="00684627"/>
    <w:rsid w:val="006A0780"/>
    <w:rsid w:val="006A244B"/>
    <w:rsid w:val="006B2180"/>
    <w:rsid w:val="006C13DF"/>
    <w:rsid w:val="006C1695"/>
    <w:rsid w:val="006E0440"/>
    <w:rsid w:val="006E6CC1"/>
    <w:rsid w:val="006F63DD"/>
    <w:rsid w:val="0070249C"/>
    <w:rsid w:val="0070517E"/>
    <w:rsid w:val="00710F5D"/>
    <w:rsid w:val="00715AB1"/>
    <w:rsid w:val="00727C1E"/>
    <w:rsid w:val="007308E1"/>
    <w:rsid w:val="00745BE0"/>
    <w:rsid w:val="00746985"/>
    <w:rsid w:val="00761BBB"/>
    <w:rsid w:val="00763EBE"/>
    <w:rsid w:val="0076745E"/>
    <w:rsid w:val="00785C5F"/>
    <w:rsid w:val="00796187"/>
    <w:rsid w:val="0079746D"/>
    <w:rsid w:val="007A3F70"/>
    <w:rsid w:val="007C5EFA"/>
    <w:rsid w:val="007D6331"/>
    <w:rsid w:val="007D721D"/>
    <w:rsid w:val="007E1FE7"/>
    <w:rsid w:val="007F1920"/>
    <w:rsid w:val="0081098E"/>
    <w:rsid w:val="0081137A"/>
    <w:rsid w:val="008122FC"/>
    <w:rsid w:val="00814587"/>
    <w:rsid w:val="00817B7F"/>
    <w:rsid w:val="0082498A"/>
    <w:rsid w:val="00837985"/>
    <w:rsid w:val="00843BFE"/>
    <w:rsid w:val="00844AC4"/>
    <w:rsid w:val="008536A8"/>
    <w:rsid w:val="00871447"/>
    <w:rsid w:val="0088305F"/>
    <w:rsid w:val="00883143"/>
    <w:rsid w:val="00894850"/>
    <w:rsid w:val="008A700C"/>
    <w:rsid w:val="008B5FB4"/>
    <w:rsid w:val="008B6585"/>
    <w:rsid w:val="008C5D86"/>
    <w:rsid w:val="008D218C"/>
    <w:rsid w:val="008D3BA0"/>
    <w:rsid w:val="008E041D"/>
    <w:rsid w:val="009035F4"/>
    <w:rsid w:val="00906D2E"/>
    <w:rsid w:val="00907C08"/>
    <w:rsid w:val="00916399"/>
    <w:rsid w:val="00916900"/>
    <w:rsid w:val="00981120"/>
    <w:rsid w:val="0098362F"/>
    <w:rsid w:val="00992D8C"/>
    <w:rsid w:val="009C2EA6"/>
    <w:rsid w:val="009C4E43"/>
    <w:rsid w:val="009C7EEE"/>
    <w:rsid w:val="009D20BF"/>
    <w:rsid w:val="009D454C"/>
    <w:rsid w:val="009E1A32"/>
    <w:rsid w:val="009E448A"/>
    <w:rsid w:val="009E4FFD"/>
    <w:rsid w:val="009F0D88"/>
    <w:rsid w:val="009F60DD"/>
    <w:rsid w:val="009F69E3"/>
    <w:rsid w:val="009F6C2B"/>
    <w:rsid w:val="00A03B7C"/>
    <w:rsid w:val="00A10D84"/>
    <w:rsid w:val="00A11217"/>
    <w:rsid w:val="00A13317"/>
    <w:rsid w:val="00A150FF"/>
    <w:rsid w:val="00A2125A"/>
    <w:rsid w:val="00A27032"/>
    <w:rsid w:val="00A41973"/>
    <w:rsid w:val="00A67C48"/>
    <w:rsid w:val="00A76D58"/>
    <w:rsid w:val="00A8498E"/>
    <w:rsid w:val="00A87BCB"/>
    <w:rsid w:val="00AA08BC"/>
    <w:rsid w:val="00AA3D40"/>
    <w:rsid w:val="00AB0A62"/>
    <w:rsid w:val="00AC21BC"/>
    <w:rsid w:val="00AC2795"/>
    <w:rsid w:val="00AC60C5"/>
    <w:rsid w:val="00AD34C7"/>
    <w:rsid w:val="00AE62A4"/>
    <w:rsid w:val="00AE6D9D"/>
    <w:rsid w:val="00B15417"/>
    <w:rsid w:val="00B30267"/>
    <w:rsid w:val="00B43884"/>
    <w:rsid w:val="00B44E6E"/>
    <w:rsid w:val="00B5063D"/>
    <w:rsid w:val="00B52756"/>
    <w:rsid w:val="00B609AB"/>
    <w:rsid w:val="00B62ACB"/>
    <w:rsid w:val="00B648F3"/>
    <w:rsid w:val="00B64EC4"/>
    <w:rsid w:val="00B67744"/>
    <w:rsid w:val="00B67B25"/>
    <w:rsid w:val="00B82362"/>
    <w:rsid w:val="00B909F6"/>
    <w:rsid w:val="00B920C1"/>
    <w:rsid w:val="00B9365A"/>
    <w:rsid w:val="00BA529E"/>
    <w:rsid w:val="00BB5389"/>
    <w:rsid w:val="00BC1077"/>
    <w:rsid w:val="00BF4A08"/>
    <w:rsid w:val="00C067EA"/>
    <w:rsid w:val="00C07200"/>
    <w:rsid w:val="00C14312"/>
    <w:rsid w:val="00C1448C"/>
    <w:rsid w:val="00C40FE7"/>
    <w:rsid w:val="00C476B8"/>
    <w:rsid w:val="00C561B2"/>
    <w:rsid w:val="00C64850"/>
    <w:rsid w:val="00C672F7"/>
    <w:rsid w:val="00C75D73"/>
    <w:rsid w:val="00CA0720"/>
    <w:rsid w:val="00CA18BC"/>
    <w:rsid w:val="00CA292F"/>
    <w:rsid w:val="00CB58FF"/>
    <w:rsid w:val="00CC13EA"/>
    <w:rsid w:val="00CC1F1F"/>
    <w:rsid w:val="00CC1F79"/>
    <w:rsid w:val="00CC2F12"/>
    <w:rsid w:val="00CC4F96"/>
    <w:rsid w:val="00CC57BD"/>
    <w:rsid w:val="00CE0A23"/>
    <w:rsid w:val="00CF2FFD"/>
    <w:rsid w:val="00CF34EB"/>
    <w:rsid w:val="00D14766"/>
    <w:rsid w:val="00D161C4"/>
    <w:rsid w:val="00D22199"/>
    <w:rsid w:val="00D25CC1"/>
    <w:rsid w:val="00D319D5"/>
    <w:rsid w:val="00D33585"/>
    <w:rsid w:val="00D405BC"/>
    <w:rsid w:val="00D4494A"/>
    <w:rsid w:val="00D60A1F"/>
    <w:rsid w:val="00D811A8"/>
    <w:rsid w:val="00D93A2D"/>
    <w:rsid w:val="00D969B3"/>
    <w:rsid w:val="00DA061E"/>
    <w:rsid w:val="00DA6DC8"/>
    <w:rsid w:val="00DB5532"/>
    <w:rsid w:val="00DC1C05"/>
    <w:rsid w:val="00DD3F80"/>
    <w:rsid w:val="00DD6962"/>
    <w:rsid w:val="00DE6D45"/>
    <w:rsid w:val="00DE6F58"/>
    <w:rsid w:val="00DF39B5"/>
    <w:rsid w:val="00DF39ED"/>
    <w:rsid w:val="00E01E1A"/>
    <w:rsid w:val="00E1470E"/>
    <w:rsid w:val="00E23C0E"/>
    <w:rsid w:val="00E23DF3"/>
    <w:rsid w:val="00E256C4"/>
    <w:rsid w:val="00E27D23"/>
    <w:rsid w:val="00E27E77"/>
    <w:rsid w:val="00E32489"/>
    <w:rsid w:val="00E34993"/>
    <w:rsid w:val="00E43E2C"/>
    <w:rsid w:val="00E529A3"/>
    <w:rsid w:val="00E63052"/>
    <w:rsid w:val="00E710EC"/>
    <w:rsid w:val="00E722B5"/>
    <w:rsid w:val="00E74964"/>
    <w:rsid w:val="00E83541"/>
    <w:rsid w:val="00E853C8"/>
    <w:rsid w:val="00EA14EE"/>
    <w:rsid w:val="00EB030C"/>
    <w:rsid w:val="00EB3EFF"/>
    <w:rsid w:val="00EC29D7"/>
    <w:rsid w:val="00ED5396"/>
    <w:rsid w:val="00EE1B72"/>
    <w:rsid w:val="00EE4F92"/>
    <w:rsid w:val="00EF0D9A"/>
    <w:rsid w:val="00F012E1"/>
    <w:rsid w:val="00F018C0"/>
    <w:rsid w:val="00F036B1"/>
    <w:rsid w:val="00F12895"/>
    <w:rsid w:val="00F26934"/>
    <w:rsid w:val="00F71085"/>
    <w:rsid w:val="00F95DCF"/>
    <w:rsid w:val="00FA2D6F"/>
    <w:rsid w:val="00FA554D"/>
    <w:rsid w:val="00FC32AB"/>
    <w:rsid w:val="00FC3DEB"/>
    <w:rsid w:val="00FC61EA"/>
    <w:rsid w:val="00FC66C1"/>
    <w:rsid w:val="00FC7CEC"/>
    <w:rsid w:val="00FD043B"/>
    <w:rsid w:val="00FD2FF0"/>
    <w:rsid w:val="00FD74CC"/>
    <w:rsid w:val="00FE4D51"/>
    <w:rsid w:val="00FE5B79"/>
    <w:rsid w:val="00FE6756"/>
    <w:rsid w:val="00FE6EB8"/>
    <w:rsid w:val="00FF3122"/>
    <w:rsid w:val="121C791E"/>
    <w:rsid w:val="40D95A78"/>
    <w:rsid w:val="414E2E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Calibr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方正仿宋_GBK" w:cs="Times New Roman"/>
      <w:kern w:val="2"/>
      <w:sz w:val="32"/>
      <w:szCs w:val="20"/>
      <w:lang w:val="en-US" w:eastAsia="zh-CN" w:bidi="ar-SA"/>
    </w:rPr>
  </w:style>
  <w:style w:type="character" w:default="1" w:styleId="9">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Date"/>
    <w:basedOn w:val="1"/>
    <w:next w:val="1"/>
    <w:link w:val="14"/>
    <w:semiHidden/>
    <w:unhideWhenUsed/>
    <w:qFormat/>
    <w:uiPriority w:val="99"/>
    <w:pPr>
      <w:ind w:left="100" w:leftChars="2500"/>
    </w:pPr>
  </w:style>
  <w:style w:type="paragraph" w:styleId="3">
    <w:name w:val="Balloon Text"/>
    <w:basedOn w:val="1"/>
    <w:link w:val="13"/>
    <w:semiHidden/>
    <w:unhideWhenUsed/>
    <w:qFormat/>
    <w:uiPriority w:val="99"/>
    <w:rPr>
      <w:sz w:val="18"/>
      <w:szCs w:val="18"/>
    </w:rPr>
  </w:style>
  <w:style w:type="paragraph" w:styleId="4">
    <w:name w:val="footer"/>
    <w:basedOn w:val="1"/>
    <w:link w:val="12"/>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6">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table" w:styleId="8">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0">
    <w:name w:val="Hyperlink"/>
    <w:basedOn w:val="9"/>
    <w:unhideWhenUsed/>
    <w:qFormat/>
    <w:uiPriority w:val="99"/>
    <w:rPr>
      <w:color w:val="0563C1" w:themeColor="hyperlink"/>
      <w:u w:val="single"/>
      <w14:textFill>
        <w14:solidFill>
          <w14:schemeClr w14:val="hlink"/>
        </w14:solidFill>
      </w14:textFill>
    </w:rPr>
  </w:style>
  <w:style w:type="character" w:customStyle="1" w:styleId="11">
    <w:name w:val="页眉 字符"/>
    <w:basedOn w:val="9"/>
    <w:link w:val="5"/>
    <w:qFormat/>
    <w:uiPriority w:val="99"/>
    <w:rPr>
      <w:sz w:val="18"/>
      <w:szCs w:val="18"/>
    </w:rPr>
  </w:style>
  <w:style w:type="character" w:customStyle="1" w:styleId="12">
    <w:name w:val="页脚 字符"/>
    <w:basedOn w:val="9"/>
    <w:link w:val="4"/>
    <w:qFormat/>
    <w:uiPriority w:val="99"/>
    <w:rPr>
      <w:sz w:val="18"/>
      <w:szCs w:val="18"/>
    </w:rPr>
  </w:style>
  <w:style w:type="character" w:customStyle="1" w:styleId="13">
    <w:name w:val="批注框文本 字符"/>
    <w:basedOn w:val="9"/>
    <w:link w:val="3"/>
    <w:semiHidden/>
    <w:qFormat/>
    <w:uiPriority w:val="99"/>
    <w:rPr>
      <w:rFonts w:ascii="Times New Roman" w:hAnsi="Times New Roman" w:eastAsia="方正仿宋_GBK" w:cs="Times New Roman"/>
      <w:sz w:val="18"/>
      <w:szCs w:val="18"/>
    </w:rPr>
  </w:style>
  <w:style w:type="character" w:customStyle="1" w:styleId="14">
    <w:name w:val="日期 字符"/>
    <w:basedOn w:val="9"/>
    <w:link w:val="2"/>
    <w:semiHidden/>
    <w:qFormat/>
    <w:uiPriority w:val="99"/>
    <w:rPr>
      <w:rFonts w:ascii="Times New Roman" w:hAnsi="Times New Roman" w:eastAsia="方正仿宋_GBK" w:cs="Times New Roman"/>
      <w:sz w:val="32"/>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oleObject" Target="embeddings/oleObject2.bin"/><Relationship Id="rId7" Type="http://schemas.openxmlformats.org/officeDocument/2006/relationships/image" Target="media/image2.png"/><Relationship Id="rId6" Type="http://schemas.openxmlformats.org/officeDocument/2006/relationships/oleObject" Target="embeddings/oleObject1.bin"/><Relationship Id="rId5" Type="http://schemas.openxmlformats.org/officeDocument/2006/relationships/image" Target="media/image1.jpeg"/><Relationship Id="rId4" Type="http://schemas.openxmlformats.org/officeDocument/2006/relationships/theme" Target="theme/theme1.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customXml" Target="../customXml/item2.xml"/><Relationship Id="rId28" Type="http://schemas.openxmlformats.org/officeDocument/2006/relationships/customXml" Target="../customXml/item1.xml"/><Relationship Id="rId27" Type="http://schemas.openxmlformats.org/officeDocument/2006/relationships/image" Target="media/image12.png"/><Relationship Id="rId26" Type="http://schemas.openxmlformats.org/officeDocument/2006/relationships/oleObject" Target="embeddings/oleObject11.bin"/><Relationship Id="rId25" Type="http://schemas.openxmlformats.org/officeDocument/2006/relationships/image" Target="media/image11.png"/><Relationship Id="rId24" Type="http://schemas.openxmlformats.org/officeDocument/2006/relationships/oleObject" Target="embeddings/oleObject10.bin"/><Relationship Id="rId23" Type="http://schemas.openxmlformats.org/officeDocument/2006/relationships/image" Target="media/image10.png"/><Relationship Id="rId22" Type="http://schemas.openxmlformats.org/officeDocument/2006/relationships/oleObject" Target="embeddings/oleObject9.bin"/><Relationship Id="rId21" Type="http://schemas.openxmlformats.org/officeDocument/2006/relationships/image" Target="media/image9.png"/><Relationship Id="rId20" Type="http://schemas.openxmlformats.org/officeDocument/2006/relationships/oleObject" Target="embeddings/oleObject8.bin"/><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oleObject" Target="embeddings/oleObject7.bin"/><Relationship Id="rId17" Type="http://schemas.openxmlformats.org/officeDocument/2006/relationships/image" Target="media/image7.png"/><Relationship Id="rId16" Type="http://schemas.openxmlformats.org/officeDocument/2006/relationships/oleObject" Target="embeddings/oleObject6.bin"/><Relationship Id="rId15" Type="http://schemas.openxmlformats.org/officeDocument/2006/relationships/image" Target="media/image6.png"/><Relationship Id="rId14" Type="http://schemas.openxmlformats.org/officeDocument/2006/relationships/oleObject" Target="embeddings/oleObject5.bin"/><Relationship Id="rId13" Type="http://schemas.openxmlformats.org/officeDocument/2006/relationships/image" Target="media/image5.png"/><Relationship Id="rId12" Type="http://schemas.openxmlformats.org/officeDocument/2006/relationships/oleObject" Target="embeddings/oleObject4.bin"/><Relationship Id="rId11" Type="http://schemas.openxmlformats.org/officeDocument/2006/relationships/image" Target="media/image4.png"/><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37"/>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EDCDF58-37DA-4CF8-B1BD-16CD9D1D88AB}">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20</Pages>
  <Words>1462</Words>
  <Characters>8339</Characters>
  <Lines>69</Lines>
  <Paragraphs>19</Paragraphs>
  <TotalTime>22</TotalTime>
  <ScaleCrop>false</ScaleCrop>
  <LinksUpToDate>false</LinksUpToDate>
  <CharactersWithSpaces>9782</CharactersWithSpaces>
  <Application>WPS Office_11.1.0.8976_F1E327BC-269C-435d-A152-05C5408002CA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2019-08-22T04:43:00Z</dcterms:created>
  <dc:creator>王松</dc:creator>
  <cp:lastModifiedBy>东</cp:lastModifiedBy>
  <cp:lastPrinted>2019-08-22T04:45:00Z</cp:lastPrinted>
  <dcterms:modified xsi:type="dcterms:W3CDTF">2019-08-29T08:48:29Z</dcterms:modified>
  <cp:revision>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